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4" w:lineRule="auto"/>
        <w:ind w:right="325" w:rightChars="155" w:firstLine="566" w:firstLineChars="109"/>
        <w:jc w:val="center"/>
        <w:rPr>
          <w:rFonts w:hint="eastAsia" w:ascii="黑体" w:hAnsi="黑体" w:eastAsia="黑体"/>
          <w:sz w:val="52"/>
          <w:szCs w:val="52"/>
        </w:rPr>
      </w:pPr>
    </w:p>
    <w:p>
      <w:pPr>
        <w:spacing w:line="284" w:lineRule="auto"/>
        <w:ind w:right="325" w:rightChars="155" w:firstLine="566" w:firstLineChars="109"/>
        <w:jc w:val="center"/>
        <w:rPr>
          <w:rFonts w:hint="eastAsia" w:ascii="黑体" w:hAnsi="黑体" w:eastAsia="黑体"/>
          <w:sz w:val="52"/>
          <w:szCs w:val="52"/>
        </w:rPr>
      </w:pPr>
    </w:p>
    <w:p>
      <w:pPr>
        <w:spacing w:line="284" w:lineRule="auto"/>
        <w:ind w:right="325" w:rightChars="155" w:firstLine="566" w:firstLineChars="109"/>
        <w:jc w:val="center"/>
        <w:rPr>
          <w:rFonts w:hint="eastAsia" w:ascii="黑体" w:hAnsi="黑体" w:eastAsia="黑体"/>
          <w:sz w:val="52"/>
          <w:szCs w:val="52"/>
        </w:rPr>
      </w:pPr>
    </w:p>
    <w:p>
      <w:pPr>
        <w:spacing w:line="284" w:lineRule="auto"/>
        <w:ind w:firstLine="723" w:firstLineChars="100"/>
        <w:jc w:val="center"/>
        <w:rPr>
          <w:rFonts w:hint="eastAsia" w:ascii="黑体" w:hAnsi="黑体" w:eastAsia="黑体"/>
          <w:b/>
          <w:bCs/>
          <w:sz w:val="72"/>
          <w:szCs w:val="72"/>
        </w:rPr>
      </w:pPr>
      <w:r>
        <w:rPr>
          <w:rFonts w:hint="eastAsia" w:ascii="黑体" w:hAnsi="黑体" w:eastAsia="黑体"/>
          <w:b/>
          <w:bCs/>
          <w:sz w:val="72"/>
          <w:szCs w:val="72"/>
          <w:lang w:eastAsia="zh-CN"/>
        </w:rPr>
        <w:t>202</w:t>
      </w:r>
      <w:r>
        <w:rPr>
          <w:rFonts w:hint="eastAsia" w:ascii="黑体" w:hAnsi="黑体" w:eastAsia="黑体"/>
          <w:b/>
          <w:bCs/>
          <w:sz w:val="72"/>
          <w:szCs w:val="72"/>
          <w:lang w:val="en-US" w:eastAsia="zh-CN"/>
        </w:rPr>
        <w:t>2</w:t>
      </w:r>
      <w:bookmarkStart w:id="22" w:name="_GoBack"/>
      <w:bookmarkEnd w:id="22"/>
      <w:r>
        <w:rPr>
          <w:rFonts w:hint="eastAsia" w:ascii="黑体" w:hAnsi="黑体" w:eastAsia="黑体"/>
          <w:b/>
          <w:bCs/>
          <w:sz w:val="72"/>
          <w:szCs w:val="72"/>
        </w:rPr>
        <w:t>年度</w:t>
      </w:r>
    </w:p>
    <w:p>
      <w:pPr>
        <w:spacing w:line="284" w:lineRule="auto"/>
        <w:ind w:firstLine="723" w:firstLineChars="100"/>
        <w:jc w:val="center"/>
        <w:rPr>
          <w:rFonts w:hint="eastAsia" w:ascii="黑体" w:hAnsi="黑体" w:eastAsia="黑体"/>
          <w:b/>
          <w:bCs/>
          <w:sz w:val="72"/>
          <w:szCs w:val="72"/>
        </w:rPr>
      </w:pPr>
      <w:r>
        <w:rPr>
          <w:rFonts w:hint="eastAsia" w:ascii="黑体" w:hAnsi="黑体" w:eastAsia="黑体"/>
          <w:b/>
          <w:bCs/>
          <w:sz w:val="72"/>
          <w:szCs w:val="72"/>
        </w:rPr>
        <w:t>社会责任报告</w:t>
      </w: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jc w:val="center"/>
        <w:rPr>
          <w:rFonts w:hint="eastAsia" w:ascii="黑体" w:hAnsi="黑体" w:eastAsia="黑体"/>
          <w:sz w:val="36"/>
          <w:szCs w:val="36"/>
          <w:lang w:eastAsia="zh-CN"/>
        </w:rPr>
      </w:pPr>
      <w:r>
        <w:rPr>
          <w:rFonts w:hint="eastAsia" w:ascii="黑体" w:hAnsi="黑体" w:eastAsia="黑体"/>
          <w:sz w:val="36"/>
          <w:szCs w:val="36"/>
          <w:lang w:eastAsia="zh-CN"/>
        </w:rPr>
        <w:t>金华市聚杰电器有限公司</w:t>
      </w:r>
    </w:p>
    <w:p>
      <w:pPr>
        <w:spacing w:line="284" w:lineRule="auto"/>
        <w:ind w:right="325" w:rightChars="155"/>
        <w:jc w:val="center"/>
        <w:rPr>
          <w:rFonts w:hint="eastAsia"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黑体" w:hAnsi="黑体" w:eastAsia="黑体"/>
          <w:sz w:val="36"/>
          <w:szCs w:val="36"/>
        </w:rPr>
        <w:t>年</w:t>
      </w:r>
      <w:r>
        <w:rPr>
          <w:rFonts w:hint="eastAsia" w:ascii="黑体" w:hAnsi="黑体" w:eastAsia="黑体"/>
          <w:sz w:val="36"/>
          <w:szCs w:val="36"/>
          <w:lang w:val="en-US" w:eastAsia="zh-CN"/>
        </w:rPr>
        <w:t>6</w:t>
      </w:r>
      <w:r>
        <w:rPr>
          <w:rFonts w:hint="eastAsia" w:ascii="黑体" w:hAnsi="黑体" w:eastAsia="黑体"/>
          <w:sz w:val="36"/>
          <w:szCs w:val="36"/>
        </w:rPr>
        <w:t>月</w:t>
      </w:r>
    </w:p>
    <w:p>
      <w:pPr>
        <w:pStyle w:val="39"/>
        <w:ind w:right="325" w:rightChars="155" w:firstLine="640"/>
        <w:rPr>
          <w:rFonts w:hint="eastAsia"/>
        </w:rPr>
      </w:pPr>
      <w:r>
        <w:rPr>
          <w:szCs w:val="22"/>
        </w:rPr>
        <w:br w:type="page"/>
      </w:r>
      <w:bookmarkStart w:id="0" w:name="_Toc28399"/>
      <w:r>
        <w:rPr>
          <w:rFonts w:hint="eastAsia"/>
        </w:rPr>
        <w:t>关于本报告</w:t>
      </w:r>
      <w:bookmarkEnd w:id="0"/>
    </w:p>
    <w:p>
      <w:pPr>
        <w:spacing w:line="360" w:lineRule="auto"/>
        <w:rPr>
          <w:rFonts w:hint="eastAsia" w:ascii="宋体" w:hAnsi="宋体"/>
          <w:bCs/>
          <w:sz w:val="24"/>
        </w:rPr>
      </w:pPr>
      <w:bookmarkStart w:id="1" w:name="_Toc493596484"/>
      <w:r>
        <w:rPr>
          <w:rFonts w:hint="eastAsia" w:ascii="宋体" w:hAnsi="宋体"/>
          <w:bCs/>
          <w:sz w:val="24"/>
        </w:rPr>
        <w:t xml:space="preserve">1、 </w:t>
      </w:r>
      <w:bookmarkEnd w:id="1"/>
      <w:r>
        <w:rPr>
          <w:rFonts w:hint="eastAsia" w:ascii="宋体" w:hAnsi="宋体"/>
          <w:bCs/>
          <w:sz w:val="24"/>
        </w:rPr>
        <w:t>报告范围</w:t>
      </w:r>
    </w:p>
    <w:p>
      <w:pPr>
        <w:spacing w:line="360" w:lineRule="auto"/>
        <w:ind w:firstLine="480" w:firstLineChars="200"/>
        <w:rPr>
          <w:rFonts w:hint="eastAsia" w:ascii="宋体" w:hAnsi="宋体"/>
          <w:sz w:val="24"/>
        </w:rPr>
      </w:pPr>
      <w:r>
        <w:rPr>
          <w:rFonts w:hint="eastAsia" w:ascii="宋体" w:hAnsi="宋体"/>
          <w:sz w:val="24"/>
        </w:rPr>
        <w:t>本报告以</w:t>
      </w:r>
      <w:r>
        <w:rPr>
          <w:rFonts w:hint="eastAsia" w:ascii="宋体" w:hAnsi="宋体"/>
          <w:sz w:val="24"/>
          <w:lang w:eastAsia="zh-CN"/>
        </w:rPr>
        <w:t>金华市聚杰电器有限公司</w:t>
      </w:r>
      <w:r>
        <w:rPr>
          <w:rFonts w:hint="eastAsia" w:ascii="宋体" w:hAnsi="宋体"/>
          <w:sz w:val="24"/>
        </w:rPr>
        <w:t>为主体，披露了</w:t>
      </w:r>
      <w:r>
        <w:rPr>
          <w:rFonts w:hint="eastAsia" w:ascii="宋体" w:hAnsi="宋体"/>
          <w:sz w:val="24"/>
          <w:lang w:eastAsia="zh-CN"/>
        </w:rPr>
        <w:t>202</w:t>
      </w:r>
      <w:r>
        <w:rPr>
          <w:rFonts w:hint="eastAsia" w:ascii="宋体" w:hAnsi="宋体"/>
          <w:sz w:val="24"/>
          <w:lang w:val="en-US" w:eastAsia="zh-CN"/>
        </w:rPr>
        <w:t>2</w:t>
      </w:r>
      <w:r>
        <w:rPr>
          <w:rFonts w:hint="eastAsia" w:ascii="宋体" w:hAnsi="宋体"/>
          <w:sz w:val="24"/>
        </w:rPr>
        <w:t>年企业履行政治、经济、社会和生态责任方面的内容。</w:t>
      </w:r>
    </w:p>
    <w:p>
      <w:pPr>
        <w:spacing w:line="360" w:lineRule="auto"/>
        <w:ind w:firstLine="480" w:firstLineChars="200"/>
        <w:rPr>
          <w:rFonts w:hint="eastAsia" w:ascii="宋体" w:hAnsi="宋体"/>
          <w:sz w:val="24"/>
        </w:rPr>
      </w:pPr>
    </w:p>
    <w:p>
      <w:pPr>
        <w:spacing w:line="360" w:lineRule="auto"/>
        <w:rPr>
          <w:rFonts w:hint="eastAsia" w:ascii="宋体" w:hAnsi="宋体"/>
          <w:bCs/>
          <w:sz w:val="24"/>
        </w:rPr>
      </w:pPr>
      <w:r>
        <w:rPr>
          <w:rFonts w:hint="eastAsia" w:ascii="宋体" w:hAnsi="宋体"/>
          <w:bCs/>
          <w:sz w:val="24"/>
        </w:rPr>
        <w:t>2 称谓说明</w:t>
      </w:r>
    </w:p>
    <w:p>
      <w:pPr>
        <w:spacing w:line="360" w:lineRule="auto"/>
        <w:ind w:firstLine="480" w:firstLineChars="200"/>
        <w:rPr>
          <w:rFonts w:hint="eastAsia" w:ascii="宋体" w:hAnsi="宋体"/>
          <w:sz w:val="24"/>
        </w:rPr>
      </w:pPr>
      <w:r>
        <w:rPr>
          <w:rFonts w:hint="eastAsia" w:ascii="宋体" w:hAnsi="宋体"/>
          <w:sz w:val="24"/>
        </w:rPr>
        <w:t>为表述方便，报告把“</w:t>
      </w:r>
      <w:r>
        <w:rPr>
          <w:rFonts w:hint="eastAsia" w:ascii="宋体" w:hAnsi="宋体"/>
          <w:sz w:val="24"/>
          <w:lang w:eastAsia="zh-CN"/>
        </w:rPr>
        <w:t>金华市聚杰电器有限公司</w:t>
      </w:r>
      <w:r>
        <w:rPr>
          <w:rFonts w:hint="eastAsia" w:ascii="宋体" w:hAnsi="宋体"/>
          <w:sz w:val="24"/>
        </w:rPr>
        <w:t>”简称为“</w:t>
      </w:r>
      <w:r>
        <w:rPr>
          <w:rFonts w:hint="eastAsia" w:ascii="宋体" w:hAnsi="宋体"/>
          <w:sz w:val="24"/>
          <w:lang w:val="en-US" w:eastAsia="zh-CN"/>
        </w:rPr>
        <w:t>聚杰</w:t>
      </w:r>
      <w:r>
        <w:rPr>
          <w:rFonts w:hint="eastAsia" w:ascii="宋体" w:hAnsi="宋体"/>
          <w:sz w:val="24"/>
        </w:rPr>
        <w:t>”或“公司”。</w:t>
      </w:r>
    </w:p>
    <w:p>
      <w:pPr>
        <w:spacing w:line="360" w:lineRule="auto"/>
        <w:ind w:firstLine="480" w:firstLineChars="200"/>
        <w:rPr>
          <w:rFonts w:hint="eastAsia" w:ascii="宋体" w:hAnsi="宋体"/>
          <w:sz w:val="24"/>
        </w:rPr>
      </w:pPr>
    </w:p>
    <w:p>
      <w:pPr>
        <w:spacing w:line="360" w:lineRule="auto"/>
        <w:rPr>
          <w:rFonts w:hint="eastAsia" w:ascii="宋体" w:hAnsi="宋体"/>
          <w:bCs/>
          <w:sz w:val="24"/>
        </w:rPr>
      </w:pPr>
      <w:bookmarkStart w:id="2" w:name="_Toc493596487"/>
      <w:r>
        <w:rPr>
          <w:rFonts w:hint="eastAsia" w:ascii="宋体" w:hAnsi="宋体"/>
          <w:bCs/>
          <w:sz w:val="24"/>
        </w:rPr>
        <w:t>3 报告时间</w:t>
      </w:r>
      <w:bookmarkEnd w:id="2"/>
      <w:r>
        <w:rPr>
          <w:rFonts w:hint="eastAsia" w:ascii="宋体" w:hAnsi="宋体"/>
          <w:bCs/>
          <w:sz w:val="24"/>
        </w:rPr>
        <w:t>和频次</w:t>
      </w:r>
    </w:p>
    <w:p>
      <w:pPr>
        <w:spacing w:line="360" w:lineRule="auto"/>
        <w:ind w:firstLine="480" w:firstLineChars="200"/>
        <w:rPr>
          <w:rFonts w:hint="eastAsia" w:ascii="宋体" w:hAnsi="宋体"/>
          <w:sz w:val="24"/>
        </w:rPr>
      </w:pPr>
      <w:r>
        <w:rPr>
          <w:rFonts w:hint="eastAsia" w:ascii="宋体" w:hAnsi="宋体"/>
          <w:sz w:val="24"/>
          <w:lang w:eastAsia="zh-CN"/>
        </w:rPr>
        <w:t>202</w:t>
      </w:r>
      <w:r>
        <w:rPr>
          <w:rFonts w:hint="eastAsia" w:ascii="宋体" w:hAnsi="宋体"/>
          <w:sz w:val="24"/>
          <w:lang w:val="en-US" w:eastAsia="zh-CN"/>
        </w:rPr>
        <w:t>2</w:t>
      </w:r>
      <w:r>
        <w:rPr>
          <w:rFonts w:hint="eastAsia" w:ascii="宋体" w:hAnsi="宋体"/>
          <w:sz w:val="24"/>
        </w:rPr>
        <w:t>年1月1日至</w:t>
      </w:r>
      <w:r>
        <w:rPr>
          <w:rFonts w:hint="eastAsia" w:ascii="宋体" w:hAnsi="宋体"/>
          <w:sz w:val="24"/>
          <w:lang w:eastAsia="zh-CN"/>
        </w:rPr>
        <w:t>202</w:t>
      </w:r>
      <w:r>
        <w:rPr>
          <w:rFonts w:hint="eastAsia" w:ascii="宋体" w:hAnsi="宋体"/>
          <w:sz w:val="24"/>
          <w:lang w:val="en-US" w:eastAsia="zh-CN"/>
        </w:rPr>
        <w:t>2</w:t>
      </w:r>
      <w:r>
        <w:rPr>
          <w:rFonts w:hint="eastAsia" w:ascii="宋体" w:hAnsi="宋体"/>
          <w:sz w:val="24"/>
        </w:rPr>
        <w:t>年12月31日，部分数据及内容超出上述范围。</w:t>
      </w:r>
    </w:p>
    <w:p>
      <w:pPr>
        <w:spacing w:line="360" w:lineRule="auto"/>
        <w:ind w:firstLine="480" w:firstLineChars="200"/>
        <w:rPr>
          <w:rFonts w:hint="eastAsia" w:ascii="宋体" w:hAnsi="宋体"/>
          <w:sz w:val="24"/>
        </w:rPr>
      </w:pPr>
      <w:r>
        <w:rPr>
          <w:rFonts w:hint="eastAsia" w:ascii="宋体" w:hAnsi="宋体"/>
          <w:sz w:val="24"/>
        </w:rPr>
        <w:t>本报告为年度报告。</w:t>
      </w:r>
    </w:p>
    <w:p>
      <w:pPr>
        <w:spacing w:line="360" w:lineRule="auto"/>
        <w:ind w:firstLine="480" w:firstLineChars="200"/>
        <w:rPr>
          <w:rFonts w:hint="eastAsia" w:ascii="宋体" w:hAnsi="宋体"/>
          <w:sz w:val="24"/>
        </w:rPr>
      </w:pPr>
    </w:p>
    <w:p>
      <w:pPr>
        <w:spacing w:line="360" w:lineRule="auto"/>
        <w:rPr>
          <w:rFonts w:hint="eastAsia" w:ascii="宋体" w:hAnsi="宋体"/>
          <w:bCs/>
          <w:sz w:val="24"/>
        </w:rPr>
      </w:pPr>
      <w:bookmarkStart w:id="3" w:name="_Toc493596490"/>
      <w:r>
        <w:rPr>
          <w:rFonts w:hint="eastAsia" w:ascii="宋体" w:hAnsi="宋体"/>
          <w:bCs/>
          <w:sz w:val="24"/>
        </w:rPr>
        <w:t>4 报告</w:t>
      </w:r>
      <w:bookmarkEnd w:id="3"/>
      <w:r>
        <w:rPr>
          <w:rFonts w:hint="eastAsia" w:ascii="宋体" w:hAnsi="宋体"/>
          <w:bCs/>
          <w:sz w:val="24"/>
        </w:rPr>
        <w:t>发布形式</w:t>
      </w:r>
    </w:p>
    <w:p>
      <w:pPr>
        <w:spacing w:line="360" w:lineRule="auto"/>
        <w:ind w:firstLine="480" w:firstLineChars="200"/>
        <w:rPr>
          <w:rFonts w:hint="eastAsia" w:ascii="宋体" w:hAnsi="宋体"/>
          <w:sz w:val="24"/>
        </w:rPr>
      </w:pPr>
      <w:r>
        <w:rPr>
          <w:rFonts w:hint="eastAsia" w:ascii="宋体" w:hAnsi="宋体"/>
          <w:sz w:val="24"/>
        </w:rPr>
        <w:t>本报告以电子文档形式发布，其中电子文档可在</w:t>
      </w:r>
      <w:r>
        <w:rPr>
          <w:rFonts w:hint="eastAsia" w:ascii="宋体" w:hAnsi="宋体"/>
          <w:color w:val="0000FF"/>
          <w:sz w:val="24"/>
        </w:rPr>
        <w:t>h</w:t>
      </w:r>
      <w:r>
        <w:rPr>
          <w:rFonts w:hint="eastAsia" w:ascii="宋体" w:hAnsi="宋体"/>
          <w:color w:val="0000FF"/>
          <w:sz w:val="24"/>
        </w:rPr>
        <w:fldChar w:fldCharType="begin"/>
      </w:r>
      <w:r>
        <w:rPr>
          <w:rFonts w:hint="eastAsia" w:ascii="宋体" w:hAnsi="宋体"/>
          <w:color w:val="0000FF"/>
          <w:sz w:val="24"/>
        </w:rPr>
        <w:instrText xml:space="preserve"> HYPERLINK "https://gb.cnskt.com/" </w:instrText>
      </w:r>
      <w:r>
        <w:rPr>
          <w:rFonts w:hint="eastAsia" w:ascii="宋体" w:hAnsi="宋体"/>
          <w:color w:val="0000FF"/>
          <w:sz w:val="24"/>
        </w:rPr>
        <w:fldChar w:fldCharType="separate"/>
      </w:r>
      <w:r>
        <w:rPr>
          <w:rFonts w:hint="eastAsia" w:ascii="宋体" w:hAnsi="宋体"/>
          <w:color w:val="0000FF"/>
          <w:sz w:val="24"/>
        </w:rPr>
        <w:t>ttps://gb.cnskt.com</w:t>
      </w:r>
      <w:r>
        <w:rPr>
          <w:rFonts w:hint="eastAsia" w:ascii="宋体" w:hAnsi="宋体"/>
          <w:color w:val="0000FF"/>
          <w:sz w:val="24"/>
        </w:rPr>
        <w:fldChar w:fldCharType="end"/>
      </w:r>
      <w:r>
        <w:rPr>
          <w:rFonts w:hint="eastAsia" w:ascii="宋体" w:hAnsi="宋体"/>
          <w:sz w:val="24"/>
        </w:rPr>
        <w:t>网站下载阅读。</w:t>
      </w:r>
    </w:p>
    <w:p>
      <w:pPr>
        <w:spacing w:line="360" w:lineRule="auto"/>
        <w:ind w:firstLine="480" w:firstLineChars="200"/>
        <w:rPr>
          <w:rFonts w:hint="eastAsia" w:ascii="宋体" w:hAnsi="宋体"/>
          <w:sz w:val="24"/>
        </w:rPr>
      </w:pPr>
    </w:p>
    <w:p>
      <w:pPr>
        <w:pStyle w:val="11"/>
        <w:tabs>
          <w:tab w:val="right" w:leader="dot" w:pos="8931"/>
          <w:tab w:val="clear" w:pos="8296"/>
        </w:tabs>
        <w:snapToGrid w:val="0"/>
        <w:spacing w:after="0" w:line="480" w:lineRule="auto"/>
        <w:ind w:right="325" w:rightChars="155"/>
        <w:jc w:val="center"/>
        <w:rPr>
          <w:sz w:val="36"/>
          <w:szCs w:val="36"/>
        </w:rPr>
      </w:pPr>
      <w:r>
        <w:rPr>
          <w:rFonts w:ascii="宋体" w:hAnsi="宋体" w:eastAsia="宋体"/>
        </w:rPr>
        <w:br w:type="page"/>
      </w:r>
      <w:r>
        <w:rPr>
          <w:rFonts w:ascii="宋体" w:hAnsi="宋体" w:eastAsia="宋体"/>
          <w:sz w:val="36"/>
          <w:szCs w:val="36"/>
        </w:rPr>
        <w:t>目</w:t>
      </w:r>
      <w:r>
        <w:rPr>
          <w:rFonts w:hint="eastAsia" w:ascii="宋体" w:hAnsi="宋体" w:eastAsia="宋体"/>
          <w:sz w:val="36"/>
          <w:szCs w:val="36"/>
        </w:rPr>
        <w:t xml:space="preserve">   </w:t>
      </w:r>
      <w:r>
        <w:rPr>
          <w:rFonts w:ascii="宋体" w:hAnsi="宋体" w:eastAsia="宋体"/>
          <w:sz w:val="36"/>
          <w:szCs w:val="36"/>
        </w:rPr>
        <w:t>录</w:t>
      </w:r>
    </w:p>
    <w:p>
      <w:pPr>
        <w:pStyle w:val="45"/>
        <w:tabs>
          <w:tab w:val="right" w:leader="dot" w:pos="8306"/>
        </w:tabs>
        <w:rPr>
          <w:b/>
        </w:rPr>
      </w:pPr>
      <w:r>
        <w:rPr>
          <w:rFonts w:hint="eastAsia"/>
          <w:szCs w:val="22"/>
        </w:rPr>
        <w:fldChar w:fldCharType="begin"/>
      </w:r>
      <w:r>
        <w:rPr>
          <w:rFonts w:hint="eastAsia"/>
          <w:szCs w:val="22"/>
        </w:rPr>
        <w:instrText xml:space="preserve">TOC \o "1-2" \h \u </w:instrText>
      </w:r>
      <w:r>
        <w:rPr>
          <w:rFonts w:hint="eastAsia"/>
          <w:szCs w:val="22"/>
        </w:rPr>
        <w:fldChar w:fldCharType="separate"/>
      </w:r>
    </w:p>
    <w:p>
      <w:pPr>
        <w:pStyle w:val="45"/>
        <w:tabs>
          <w:tab w:val="right" w:leader="dot" w:pos="8306"/>
        </w:tabs>
        <w:spacing w:line="480" w:lineRule="auto"/>
        <w:rPr>
          <w:b/>
          <w:sz w:val="28"/>
          <w:szCs w:val="28"/>
        </w:rPr>
      </w:pPr>
      <w:r>
        <w:rPr>
          <w:rFonts w:hint="eastAsia"/>
          <w:b/>
          <w:sz w:val="28"/>
          <w:szCs w:val="28"/>
        </w:rPr>
        <w:fldChar w:fldCharType="begin"/>
      </w:r>
      <w:r>
        <w:rPr>
          <w:rFonts w:hint="eastAsia"/>
          <w:b/>
          <w:sz w:val="28"/>
          <w:szCs w:val="28"/>
        </w:rPr>
        <w:instrText xml:space="preserve"> HYPERLINK \l _Toc1156 </w:instrText>
      </w:r>
      <w:r>
        <w:rPr>
          <w:rFonts w:hint="eastAsia"/>
          <w:b/>
          <w:sz w:val="28"/>
          <w:szCs w:val="28"/>
        </w:rPr>
        <w:fldChar w:fldCharType="separate"/>
      </w:r>
      <w:r>
        <w:rPr>
          <w:b/>
          <w:sz w:val="28"/>
          <w:szCs w:val="28"/>
        </w:rPr>
        <w:t xml:space="preserve">一、 </w:t>
      </w:r>
      <w:r>
        <w:rPr>
          <w:rFonts w:hint="eastAsia"/>
          <w:b/>
          <w:sz w:val="28"/>
          <w:szCs w:val="28"/>
        </w:rPr>
        <w:t>企业概况</w:t>
      </w:r>
      <w:r>
        <w:rPr>
          <w:b/>
          <w:sz w:val="28"/>
          <w:szCs w:val="28"/>
        </w:rPr>
        <w:tab/>
      </w:r>
      <w:r>
        <w:rPr>
          <w:b/>
          <w:sz w:val="28"/>
          <w:szCs w:val="28"/>
        </w:rPr>
        <w:fldChar w:fldCharType="begin"/>
      </w:r>
      <w:r>
        <w:rPr>
          <w:b/>
          <w:sz w:val="28"/>
          <w:szCs w:val="28"/>
        </w:rPr>
        <w:instrText xml:space="preserve"> PAGEREF _Toc1156 </w:instrText>
      </w:r>
      <w:r>
        <w:rPr>
          <w:b/>
          <w:sz w:val="28"/>
          <w:szCs w:val="28"/>
        </w:rPr>
        <w:fldChar w:fldCharType="separate"/>
      </w:r>
      <w:r>
        <w:rPr>
          <w:b/>
          <w:sz w:val="28"/>
          <w:szCs w:val="28"/>
        </w:rPr>
        <w:t>1</w:t>
      </w:r>
      <w:r>
        <w:rPr>
          <w:b/>
          <w:sz w:val="28"/>
          <w:szCs w:val="28"/>
        </w:rPr>
        <w:fldChar w:fldCharType="end"/>
      </w:r>
      <w:r>
        <w:rPr>
          <w:rFonts w:hint="eastAsia"/>
          <w:b/>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_Toc7546 </w:instrText>
      </w:r>
      <w:r>
        <w:rPr>
          <w:rFonts w:hint="eastAsia"/>
          <w:sz w:val="28"/>
          <w:szCs w:val="28"/>
        </w:rPr>
        <w:fldChar w:fldCharType="separate"/>
      </w:r>
      <w:r>
        <w:rPr>
          <w:rFonts w:hint="eastAsia" w:ascii="宋体" w:hAnsi="宋体"/>
          <w:sz w:val="28"/>
          <w:szCs w:val="28"/>
        </w:rPr>
        <w:t>1.1公司简介</w:t>
      </w:r>
      <w:r>
        <w:rPr>
          <w:sz w:val="28"/>
          <w:szCs w:val="28"/>
        </w:rPr>
        <w:tab/>
      </w:r>
      <w:r>
        <w:rPr>
          <w:sz w:val="28"/>
          <w:szCs w:val="28"/>
        </w:rPr>
        <w:fldChar w:fldCharType="begin"/>
      </w:r>
      <w:r>
        <w:rPr>
          <w:sz w:val="28"/>
          <w:szCs w:val="28"/>
        </w:rPr>
        <w:instrText xml:space="preserve"> PAGEREF _Toc7546 </w:instrText>
      </w:r>
      <w:r>
        <w:rPr>
          <w:sz w:val="28"/>
          <w:szCs w:val="28"/>
        </w:rPr>
        <w:fldChar w:fldCharType="separate"/>
      </w:r>
      <w:r>
        <w:rPr>
          <w:sz w:val="28"/>
          <w:szCs w:val="28"/>
        </w:rPr>
        <w:t>1</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_Toc13842 </w:instrText>
      </w:r>
      <w:r>
        <w:rPr>
          <w:rFonts w:hint="eastAsia"/>
          <w:sz w:val="28"/>
          <w:szCs w:val="28"/>
        </w:rPr>
        <w:fldChar w:fldCharType="separate"/>
      </w:r>
      <w:r>
        <w:rPr>
          <w:rFonts w:hint="eastAsia" w:ascii="宋体" w:hAnsi="宋体"/>
          <w:sz w:val="28"/>
          <w:szCs w:val="28"/>
        </w:rPr>
        <w:t>1.2 企业文化</w:t>
      </w:r>
      <w:r>
        <w:rPr>
          <w:sz w:val="28"/>
          <w:szCs w:val="28"/>
        </w:rPr>
        <w:tab/>
      </w:r>
      <w:r>
        <w:rPr>
          <w:sz w:val="28"/>
          <w:szCs w:val="28"/>
        </w:rPr>
        <w:fldChar w:fldCharType="begin"/>
      </w:r>
      <w:r>
        <w:rPr>
          <w:sz w:val="28"/>
          <w:szCs w:val="28"/>
        </w:rPr>
        <w:instrText xml:space="preserve"> PAGEREF _Toc13842 </w:instrText>
      </w:r>
      <w:r>
        <w:rPr>
          <w:sz w:val="28"/>
          <w:szCs w:val="28"/>
        </w:rPr>
        <w:fldChar w:fldCharType="separate"/>
      </w:r>
      <w:r>
        <w:rPr>
          <w:sz w:val="28"/>
          <w:szCs w:val="28"/>
        </w:rPr>
        <w:t>2</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_Toc10702 </w:instrText>
      </w:r>
      <w:r>
        <w:rPr>
          <w:rFonts w:hint="eastAsia"/>
          <w:sz w:val="28"/>
          <w:szCs w:val="28"/>
        </w:rPr>
        <w:fldChar w:fldCharType="separate"/>
      </w:r>
      <w:r>
        <w:rPr>
          <w:rFonts w:hint="eastAsia" w:ascii="宋体" w:hAnsi="宋体"/>
          <w:sz w:val="28"/>
          <w:szCs w:val="28"/>
        </w:rPr>
        <w:t>1.3最高</w:t>
      </w:r>
      <w:r>
        <w:rPr>
          <w:rFonts w:ascii="宋体" w:hAnsi="宋体"/>
          <w:sz w:val="28"/>
          <w:szCs w:val="28"/>
        </w:rPr>
        <w:t>管理者的社会责任承诺</w:t>
      </w:r>
      <w:r>
        <w:rPr>
          <w:sz w:val="28"/>
          <w:szCs w:val="28"/>
        </w:rPr>
        <w:tab/>
      </w:r>
      <w:r>
        <w:rPr>
          <w:sz w:val="28"/>
          <w:szCs w:val="28"/>
        </w:rPr>
        <w:fldChar w:fldCharType="begin"/>
      </w:r>
      <w:r>
        <w:rPr>
          <w:sz w:val="28"/>
          <w:szCs w:val="28"/>
        </w:rPr>
        <w:instrText xml:space="preserve"> PAGEREF _Toc10702 </w:instrText>
      </w:r>
      <w:r>
        <w:rPr>
          <w:sz w:val="28"/>
          <w:szCs w:val="28"/>
        </w:rPr>
        <w:fldChar w:fldCharType="separate"/>
      </w:r>
      <w:r>
        <w:rPr>
          <w:sz w:val="28"/>
          <w:szCs w:val="28"/>
        </w:rPr>
        <w:t>3</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_Toc7741 </w:instrText>
      </w:r>
      <w:r>
        <w:rPr>
          <w:rFonts w:hint="eastAsia"/>
          <w:sz w:val="28"/>
          <w:szCs w:val="28"/>
        </w:rPr>
        <w:fldChar w:fldCharType="separate"/>
      </w:r>
      <w:r>
        <w:rPr>
          <w:rFonts w:hint="eastAsia" w:ascii="宋体" w:hAnsi="宋体"/>
          <w:sz w:val="28"/>
          <w:szCs w:val="28"/>
        </w:rPr>
        <w:t>1.4 社会</w:t>
      </w:r>
      <w:r>
        <w:rPr>
          <w:rFonts w:ascii="宋体" w:hAnsi="宋体"/>
          <w:sz w:val="28"/>
          <w:szCs w:val="28"/>
        </w:rPr>
        <w:t>责任</w:t>
      </w:r>
      <w:r>
        <w:rPr>
          <w:rFonts w:hint="eastAsia" w:ascii="宋体" w:hAnsi="宋体"/>
          <w:sz w:val="28"/>
          <w:szCs w:val="28"/>
        </w:rPr>
        <w:t>战略</w:t>
      </w:r>
      <w:r>
        <w:rPr>
          <w:sz w:val="28"/>
          <w:szCs w:val="28"/>
        </w:rPr>
        <w:tab/>
      </w:r>
      <w:r>
        <w:rPr>
          <w:sz w:val="28"/>
          <w:szCs w:val="28"/>
        </w:rPr>
        <w:fldChar w:fldCharType="begin"/>
      </w:r>
      <w:r>
        <w:rPr>
          <w:sz w:val="28"/>
          <w:szCs w:val="28"/>
        </w:rPr>
        <w:instrText xml:space="preserve"> PAGEREF _Toc7741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_Toc31094 </w:instrText>
      </w:r>
      <w:r>
        <w:rPr>
          <w:rFonts w:hint="eastAsia"/>
          <w:sz w:val="28"/>
          <w:szCs w:val="28"/>
        </w:rPr>
        <w:fldChar w:fldCharType="separate"/>
      </w:r>
      <w:r>
        <w:rPr>
          <w:rFonts w:hint="eastAsia" w:ascii="宋体" w:hAnsi="宋体"/>
          <w:sz w:val="28"/>
          <w:szCs w:val="28"/>
        </w:rPr>
        <w:t>1.5 利益</w:t>
      </w:r>
      <w:r>
        <w:rPr>
          <w:rFonts w:ascii="宋体" w:hAnsi="宋体"/>
          <w:sz w:val="28"/>
          <w:szCs w:val="28"/>
        </w:rPr>
        <w:t>相关方识别和沟通</w:t>
      </w:r>
      <w:r>
        <w:rPr>
          <w:sz w:val="28"/>
          <w:szCs w:val="28"/>
        </w:rPr>
        <w:tab/>
      </w:r>
      <w:r>
        <w:rPr>
          <w:sz w:val="28"/>
          <w:szCs w:val="28"/>
        </w:rPr>
        <w:fldChar w:fldCharType="begin"/>
      </w:r>
      <w:r>
        <w:rPr>
          <w:sz w:val="28"/>
          <w:szCs w:val="28"/>
        </w:rPr>
        <w:instrText xml:space="preserve"> PAGEREF _Toc31094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_Toc24369 </w:instrText>
      </w:r>
      <w:r>
        <w:rPr>
          <w:rFonts w:hint="eastAsia"/>
          <w:sz w:val="28"/>
          <w:szCs w:val="28"/>
        </w:rPr>
        <w:fldChar w:fldCharType="separate"/>
      </w:r>
      <w:r>
        <w:rPr>
          <w:rFonts w:hint="eastAsia" w:ascii="宋体" w:hAnsi="宋体"/>
          <w:sz w:val="28"/>
          <w:szCs w:val="28"/>
        </w:rPr>
        <w:t>二、社会责任绩效</w:t>
      </w:r>
      <w:r>
        <w:rPr>
          <w:sz w:val="28"/>
          <w:szCs w:val="28"/>
        </w:rPr>
        <w:tab/>
      </w:r>
      <w:r>
        <w:rPr>
          <w:sz w:val="28"/>
          <w:szCs w:val="28"/>
        </w:rPr>
        <w:fldChar w:fldCharType="begin"/>
      </w:r>
      <w:r>
        <w:rPr>
          <w:sz w:val="28"/>
          <w:szCs w:val="28"/>
        </w:rPr>
        <w:instrText xml:space="preserve"> PAGEREF _Toc24369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_Toc26801 </w:instrText>
      </w:r>
      <w:r>
        <w:rPr>
          <w:rFonts w:hint="eastAsia"/>
          <w:sz w:val="28"/>
          <w:szCs w:val="28"/>
        </w:rPr>
        <w:fldChar w:fldCharType="separate"/>
      </w:r>
      <w:r>
        <w:rPr>
          <w:rFonts w:hint="eastAsia" w:ascii="宋体" w:hAnsi="宋体"/>
          <w:sz w:val="28"/>
          <w:szCs w:val="28"/>
        </w:rPr>
        <w:t>2.1社会责任履行情况</w:t>
      </w:r>
      <w:r>
        <w:rPr>
          <w:sz w:val="28"/>
          <w:szCs w:val="28"/>
        </w:rPr>
        <w:tab/>
      </w:r>
      <w:r>
        <w:rPr>
          <w:sz w:val="28"/>
          <w:szCs w:val="28"/>
        </w:rPr>
        <w:fldChar w:fldCharType="begin"/>
      </w:r>
      <w:r>
        <w:rPr>
          <w:sz w:val="28"/>
          <w:szCs w:val="28"/>
        </w:rPr>
        <w:instrText xml:space="preserve"> PAGEREF _Toc26801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_Toc6284 </w:instrText>
      </w:r>
      <w:r>
        <w:rPr>
          <w:rFonts w:hint="eastAsia"/>
          <w:sz w:val="28"/>
          <w:szCs w:val="28"/>
        </w:rPr>
        <w:fldChar w:fldCharType="separate"/>
      </w:r>
      <w:r>
        <w:rPr>
          <w:rFonts w:hint="eastAsia" w:ascii="宋体" w:hAnsi="宋体"/>
          <w:sz w:val="28"/>
          <w:szCs w:val="28"/>
        </w:rPr>
        <w:t>2.2股东及其他相关方利益保护</w:t>
      </w:r>
      <w:r>
        <w:rPr>
          <w:sz w:val="28"/>
          <w:szCs w:val="28"/>
        </w:rPr>
        <w:tab/>
      </w:r>
      <w:r>
        <w:rPr>
          <w:sz w:val="28"/>
          <w:szCs w:val="28"/>
        </w:rPr>
        <w:fldChar w:fldCharType="begin"/>
      </w:r>
      <w:r>
        <w:rPr>
          <w:sz w:val="28"/>
          <w:szCs w:val="28"/>
        </w:rPr>
        <w:instrText xml:space="preserve"> PAGEREF _Toc6284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_Toc29847 </w:instrText>
      </w:r>
      <w:r>
        <w:rPr>
          <w:rFonts w:hint="eastAsia"/>
          <w:sz w:val="28"/>
          <w:szCs w:val="28"/>
        </w:rPr>
        <w:fldChar w:fldCharType="separate"/>
      </w:r>
      <w:r>
        <w:rPr>
          <w:rFonts w:hint="eastAsia" w:ascii="宋体" w:hAnsi="宋体"/>
          <w:sz w:val="28"/>
          <w:szCs w:val="28"/>
        </w:rPr>
        <w:t>2.3员工权益保护</w:t>
      </w:r>
      <w:r>
        <w:rPr>
          <w:sz w:val="28"/>
          <w:szCs w:val="28"/>
        </w:rPr>
        <w:tab/>
      </w:r>
      <w:r>
        <w:rPr>
          <w:sz w:val="28"/>
          <w:szCs w:val="28"/>
        </w:rPr>
        <w:fldChar w:fldCharType="begin"/>
      </w:r>
      <w:r>
        <w:rPr>
          <w:sz w:val="28"/>
          <w:szCs w:val="28"/>
        </w:rPr>
        <w:instrText xml:space="preserve"> PAGEREF _Toc29847 </w:instrText>
      </w:r>
      <w:r>
        <w:rPr>
          <w:sz w:val="28"/>
          <w:szCs w:val="28"/>
        </w:rPr>
        <w:fldChar w:fldCharType="separate"/>
      </w:r>
      <w:r>
        <w:rPr>
          <w:sz w:val="28"/>
          <w:szCs w:val="28"/>
        </w:rPr>
        <w:t>6</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_Toc27540 </w:instrText>
      </w:r>
      <w:r>
        <w:rPr>
          <w:rFonts w:hint="eastAsia"/>
          <w:sz w:val="28"/>
          <w:szCs w:val="28"/>
        </w:rPr>
        <w:fldChar w:fldCharType="separate"/>
      </w:r>
      <w:r>
        <w:rPr>
          <w:rFonts w:hint="eastAsia" w:ascii="宋体" w:hAnsi="宋体"/>
          <w:sz w:val="28"/>
          <w:szCs w:val="28"/>
        </w:rPr>
        <w:t>2.4债权人、供应商、顾客等利益相关方的权益保护</w:t>
      </w:r>
      <w:r>
        <w:rPr>
          <w:sz w:val="28"/>
          <w:szCs w:val="28"/>
        </w:rPr>
        <w:tab/>
      </w:r>
      <w:r>
        <w:rPr>
          <w:sz w:val="28"/>
          <w:szCs w:val="28"/>
        </w:rPr>
        <w:fldChar w:fldCharType="begin"/>
      </w:r>
      <w:r>
        <w:rPr>
          <w:sz w:val="28"/>
          <w:szCs w:val="28"/>
        </w:rPr>
        <w:instrText xml:space="preserve"> PAGEREF _Toc27540 </w:instrText>
      </w:r>
      <w:r>
        <w:rPr>
          <w:sz w:val="28"/>
          <w:szCs w:val="28"/>
        </w:rPr>
        <w:fldChar w:fldCharType="separate"/>
      </w:r>
      <w:r>
        <w:rPr>
          <w:sz w:val="28"/>
          <w:szCs w:val="28"/>
        </w:rPr>
        <w:t>10</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_Toc15215 </w:instrText>
      </w:r>
      <w:r>
        <w:rPr>
          <w:rFonts w:hint="eastAsia"/>
          <w:sz w:val="28"/>
          <w:szCs w:val="28"/>
        </w:rPr>
        <w:fldChar w:fldCharType="separate"/>
      </w:r>
      <w:r>
        <w:rPr>
          <w:rFonts w:hint="eastAsia" w:ascii="宋体" w:hAnsi="宋体"/>
          <w:sz w:val="28"/>
          <w:szCs w:val="28"/>
        </w:rPr>
        <w:t>2.5公共责任</w:t>
      </w:r>
      <w:r>
        <w:rPr>
          <w:rFonts w:ascii="宋体" w:hAnsi="宋体"/>
          <w:sz w:val="28"/>
          <w:szCs w:val="28"/>
        </w:rPr>
        <w:t>和可持续发展</w:t>
      </w:r>
      <w:r>
        <w:rPr>
          <w:sz w:val="28"/>
          <w:szCs w:val="28"/>
        </w:rPr>
        <w:tab/>
      </w:r>
      <w:r>
        <w:rPr>
          <w:sz w:val="28"/>
          <w:szCs w:val="28"/>
        </w:rPr>
        <w:fldChar w:fldCharType="begin"/>
      </w:r>
      <w:r>
        <w:rPr>
          <w:sz w:val="28"/>
          <w:szCs w:val="28"/>
        </w:rPr>
        <w:instrText xml:space="preserve"> PAGEREF _Toc15215 </w:instrText>
      </w:r>
      <w:r>
        <w:rPr>
          <w:sz w:val="28"/>
          <w:szCs w:val="28"/>
        </w:rPr>
        <w:fldChar w:fldCharType="separate"/>
      </w:r>
      <w:r>
        <w:rPr>
          <w:sz w:val="28"/>
          <w:szCs w:val="28"/>
        </w:rPr>
        <w:t>11</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_Toc1869 </w:instrText>
      </w:r>
      <w:r>
        <w:rPr>
          <w:rFonts w:hint="eastAsia"/>
          <w:sz w:val="28"/>
          <w:szCs w:val="28"/>
        </w:rPr>
        <w:fldChar w:fldCharType="separate"/>
      </w:r>
      <w:r>
        <w:rPr>
          <w:rFonts w:hint="eastAsia" w:ascii="宋体" w:hAnsi="宋体"/>
          <w:sz w:val="28"/>
          <w:szCs w:val="28"/>
        </w:rPr>
        <w:t>2.6道德行为</w:t>
      </w:r>
      <w:r>
        <w:rPr>
          <w:sz w:val="28"/>
          <w:szCs w:val="28"/>
        </w:rPr>
        <w:tab/>
      </w:r>
      <w:r>
        <w:rPr>
          <w:sz w:val="28"/>
          <w:szCs w:val="28"/>
        </w:rPr>
        <w:fldChar w:fldCharType="begin"/>
      </w:r>
      <w:r>
        <w:rPr>
          <w:sz w:val="28"/>
          <w:szCs w:val="28"/>
        </w:rPr>
        <w:instrText xml:space="preserve"> PAGEREF _Toc1869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_Toc23239 </w:instrText>
      </w:r>
      <w:r>
        <w:rPr>
          <w:rFonts w:hint="eastAsia"/>
          <w:sz w:val="28"/>
          <w:szCs w:val="28"/>
        </w:rPr>
        <w:fldChar w:fldCharType="separate"/>
      </w:r>
      <w:r>
        <w:rPr>
          <w:rFonts w:hint="eastAsia" w:ascii="宋体" w:hAnsi="宋体"/>
          <w:sz w:val="28"/>
          <w:szCs w:val="28"/>
        </w:rPr>
        <w:t>2.7公益支持</w:t>
      </w:r>
      <w:r>
        <w:rPr>
          <w:sz w:val="28"/>
          <w:szCs w:val="28"/>
        </w:rPr>
        <w:tab/>
      </w:r>
      <w:r>
        <w:rPr>
          <w:sz w:val="28"/>
          <w:szCs w:val="28"/>
        </w:rPr>
        <w:fldChar w:fldCharType="begin"/>
      </w:r>
      <w:r>
        <w:rPr>
          <w:sz w:val="28"/>
          <w:szCs w:val="28"/>
        </w:rPr>
        <w:instrText xml:space="preserve"> PAGEREF _Toc23239 </w:instrText>
      </w:r>
      <w:r>
        <w:rPr>
          <w:sz w:val="28"/>
          <w:szCs w:val="28"/>
        </w:rPr>
        <w:fldChar w:fldCharType="separate"/>
      </w:r>
      <w:r>
        <w:rPr>
          <w:sz w:val="28"/>
          <w:szCs w:val="28"/>
        </w:rPr>
        <w:t>13</w:t>
      </w:r>
      <w:r>
        <w:rPr>
          <w:sz w:val="28"/>
          <w:szCs w:val="28"/>
        </w:rPr>
        <w:fldChar w:fldCharType="end"/>
      </w:r>
      <w:r>
        <w:rPr>
          <w:rFonts w:hint="eastAsia"/>
          <w:sz w:val="28"/>
          <w:szCs w:val="28"/>
        </w:rPr>
        <w:fldChar w:fldCharType="end"/>
      </w:r>
    </w:p>
    <w:p>
      <w:pPr>
        <w:pStyle w:val="42"/>
        <w:tabs>
          <w:tab w:val="right" w:leader="dot" w:pos="8306"/>
        </w:tabs>
        <w:spacing w:line="480" w:lineRule="auto"/>
        <w:ind w:leftChars="0"/>
      </w:pPr>
      <w:r>
        <w:rPr>
          <w:rFonts w:hint="eastAsia"/>
          <w:sz w:val="28"/>
          <w:szCs w:val="28"/>
        </w:rPr>
        <w:fldChar w:fldCharType="begin"/>
      </w:r>
      <w:r>
        <w:rPr>
          <w:rFonts w:hint="eastAsia"/>
          <w:sz w:val="28"/>
          <w:szCs w:val="28"/>
        </w:rPr>
        <w:instrText xml:space="preserve"> HYPERLINK \l _Toc11035 </w:instrText>
      </w:r>
      <w:r>
        <w:rPr>
          <w:rFonts w:hint="eastAsia"/>
          <w:sz w:val="28"/>
          <w:szCs w:val="28"/>
        </w:rPr>
        <w:fldChar w:fldCharType="separate"/>
      </w:r>
      <w:r>
        <w:rPr>
          <w:rFonts w:hint="eastAsia" w:ascii="宋体" w:hAnsi="宋体"/>
          <w:sz w:val="28"/>
          <w:szCs w:val="28"/>
        </w:rPr>
        <w:t>三、总结与展望</w:t>
      </w:r>
      <w:r>
        <w:rPr>
          <w:sz w:val="28"/>
          <w:szCs w:val="28"/>
        </w:rPr>
        <w:tab/>
      </w:r>
      <w:r>
        <w:rPr>
          <w:sz w:val="28"/>
          <w:szCs w:val="28"/>
        </w:rPr>
        <w:fldChar w:fldCharType="begin"/>
      </w:r>
      <w:r>
        <w:rPr>
          <w:sz w:val="28"/>
          <w:szCs w:val="28"/>
        </w:rPr>
        <w:instrText xml:space="preserve"> PAGEREF _Toc11035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ind w:right="325" w:rightChars="155"/>
        <w:jc w:val="center"/>
        <w:rPr>
          <w:rFonts w:hint="eastAsia"/>
          <w:szCs w:val="22"/>
        </w:rPr>
      </w:pPr>
      <w:r>
        <w:rPr>
          <w:rFonts w:hint="eastAsia"/>
          <w:b/>
          <w:szCs w:val="22"/>
        </w:rPr>
        <w:fldChar w:fldCharType="end"/>
      </w:r>
    </w:p>
    <w:p>
      <w:pPr>
        <w:ind w:right="325" w:rightChars="155"/>
        <w:rPr>
          <w:szCs w:val="22"/>
        </w:rPr>
        <w:sectPr>
          <w:headerReference r:id="rId4" w:type="first"/>
          <w:headerReference r:id="rId3" w:type="default"/>
          <w:type w:val="continuous"/>
          <w:pgSz w:w="11906" w:h="16838"/>
          <w:pgMar w:top="1440" w:right="1800" w:bottom="1440" w:left="1800" w:header="851" w:footer="0" w:gutter="0"/>
          <w:pgNumType w:start="4"/>
          <w:cols w:space="720" w:num="1"/>
          <w:titlePg/>
          <w:docGrid w:type="lines" w:linePitch="312" w:charSpace="0"/>
        </w:sectPr>
      </w:pPr>
    </w:p>
    <w:p>
      <w:pPr>
        <w:pStyle w:val="2"/>
        <w:numPr>
          <w:ilvl w:val="0"/>
          <w:numId w:val="3"/>
        </w:numPr>
        <w:spacing w:before="0" w:after="0" w:line="360" w:lineRule="auto"/>
        <w:rPr>
          <w:sz w:val="32"/>
          <w:szCs w:val="32"/>
        </w:rPr>
      </w:pPr>
      <w:bookmarkStart w:id="4" w:name="_Toc1156"/>
      <w:r>
        <w:rPr>
          <w:rFonts w:hint="eastAsia"/>
          <w:sz w:val="32"/>
          <w:szCs w:val="32"/>
        </w:rPr>
        <w:t>企业概况</w:t>
      </w:r>
      <w:bookmarkEnd w:id="4"/>
    </w:p>
    <w:p>
      <w:pPr>
        <w:pStyle w:val="3"/>
        <w:numPr>
          <w:ilvl w:val="0"/>
          <w:numId w:val="0"/>
        </w:numPr>
        <w:spacing w:before="0" w:after="0" w:line="360" w:lineRule="auto"/>
        <w:rPr>
          <w:rFonts w:hint="eastAsia" w:ascii="宋体" w:hAnsi="宋体"/>
          <w:b w:val="0"/>
          <w:color w:val="000000"/>
          <w:szCs w:val="24"/>
        </w:rPr>
      </w:pPr>
      <w:bookmarkStart w:id="5" w:name="_Toc7546"/>
      <w:r>
        <w:rPr>
          <w:rFonts w:hint="eastAsia" w:ascii="宋体" w:hAnsi="宋体"/>
        </w:rPr>
        <w:t>1.1公司简介</w:t>
      </w:r>
      <w:bookmarkEnd w:id="5"/>
    </w:p>
    <w:p>
      <w:pPr>
        <w:spacing w:line="360" w:lineRule="auto"/>
        <w:ind w:firstLine="480" w:firstLineChars="200"/>
        <w:jc w:val="left"/>
        <w:rPr>
          <w:rFonts w:hint="eastAsia" w:ascii="宋体" w:hAnsi="宋体"/>
          <w:color w:val="000000"/>
          <w:sz w:val="24"/>
          <w:lang w:eastAsia="zh-CN"/>
        </w:rPr>
      </w:pPr>
      <w:bookmarkStart w:id="6" w:name="_Hlk85018637"/>
      <w:r>
        <w:rPr>
          <w:rFonts w:hint="eastAsia" w:ascii="宋体" w:hAnsi="宋体"/>
          <w:color w:val="000000"/>
          <w:sz w:val="24"/>
          <w:lang w:eastAsia="zh-CN"/>
        </w:rPr>
        <w:t>金华市聚杰电器有限公司</w:t>
      </w:r>
      <w:bookmarkEnd w:id="6"/>
      <w:r>
        <w:rPr>
          <w:rFonts w:hint="eastAsia" w:ascii="宋体" w:hAnsi="宋体"/>
          <w:color w:val="000000"/>
          <w:sz w:val="24"/>
          <w:lang w:eastAsia="zh-CN"/>
        </w:rPr>
        <w:t>成立于2016年，是一家专业生产电锤、电镐、电钻、角磨、锂电工具为主的电动工具制造高新技术企业，占地面积3</w:t>
      </w:r>
      <w:r>
        <w:rPr>
          <w:rFonts w:hint="eastAsia" w:ascii="宋体" w:hAnsi="宋体"/>
          <w:color w:val="000000"/>
          <w:sz w:val="24"/>
          <w:lang w:val="en-US" w:eastAsia="zh-CN"/>
        </w:rPr>
        <w:t>万</w:t>
      </w:r>
      <w:r>
        <w:rPr>
          <w:rFonts w:hint="eastAsia" w:ascii="宋体" w:hAnsi="宋体"/>
          <w:color w:val="000000"/>
          <w:sz w:val="24"/>
          <w:lang w:eastAsia="zh-CN"/>
        </w:rPr>
        <w:t>平</w:t>
      </w:r>
      <w:r>
        <w:rPr>
          <w:rFonts w:hint="eastAsia" w:ascii="宋体" w:hAnsi="宋体"/>
          <w:color w:val="000000"/>
          <w:sz w:val="24"/>
          <w:lang w:val="en-US" w:eastAsia="zh-CN"/>
        </w:rPr>
        <w:t>方</w:t>
      </w:r>
      <w:r>
        <w:rPr>
          <w:rFonts w:hint="eastAsia" w:ascii="宋体" w:hAnsi="宋体"/>
          <w:color w:val="000000"/>
          <w:sz w:val="24"/>
          <w:lang w:eastAsia="zh-CN"/>
        </w:rPr>
        <w:t>米，建筑用地4</w:t>
      </w:r>
      <w:r>
        <w:rPr>
          <w:rFonts w:hint="eastAsia" w:ascii="宋体" w:hAnsi="宋体"/>
          <w:color w:val="000000"/>
          <w:sz w:val="24"/>
          <w:lang w:val="en-US" w:eastAsia="zh-CN"/>
        </w:rPr>
        <w:t>万</w:t>
      </w:r>
      <w:r>
        <w:rPr>
          <w:rFonts w:hint="eastAsia" w:ascii="宋体" w:hAnsi="宋体"/>
          <w:color w:val="000000"/>
          <w:sz w:val="24"/>
          <w:lang w:eastAsia="zh-CN"/>
        </w:rPr>
        <w:t>平</w:t>
      </w:r>
      <w:r>
        <w:rPr>
          <w:rFonts w:hint="eastAsia" w:ascii="宋体" w:hAnsi="宋体"/>
          <w:color w:val="000000"/>
          <w:sz w:val="24"/>
          <w:lang w:val="en-US" w:eastAsia="zh-CN"/>
        </w:rPr>
        <w:t>方</w:t>
      </w:r>
      <w:r>
        <w:rPr>
          <w:rFonts w:hint="eastAsia" w:ascii="宋体" w:hAnsi="宋体"/>
          <w:color w:val="000000"/>
          <w:sz w:val="24"/>
          <w:lang w:eastAsia="zh-CN"/>
        </w:rPr>
        <w:t>米，配有年销售额8亿元以上生产能力的专业制造设备。公司技术和研发实力雄厚，拥有50多项专利证书，</w:t>
      </w:r>
      <w:r>
        <w:rPr>
          <w:rFonts w:hint="eastAsia" w:ascii="宋体" w:hAnsi="宋体"/>
          <w:color w:val="000000"/>
          <w:sz w:val="24"/>
          <w:lang w:val="en-US" w:eastAsia="zh-CN"/>
        </w:rPr>
        <w:t>已</w:t>
      </w:r>
      <w:r>
        <w:rPr>
          <w:rFonts w:hint="eastAsia" w:ascii="宋体" w:hAnsi="宋体"/>
          <w:color w:val="000000"/>
          <w:sz w:val="24"/>
          <w:lang w:eastAsia="zh-CN"/>
        </w:rPr>
        <w:t>荣获国家高新技术企业，并成立了金华市高新科技技术研发中心。公司有员工700余人，其中研发</w:t>
      </w:r>
      <w:r>
        <w:rPr>
          <w:rFonts w:hint="eastAsia" w:ascii="宋体" w:hAnsi="宋体"/>
          <w:color w:val="000000"/>
          <w:sz w:val="24"/>
          <w:lang w:val="en-US" w:eastAsia="zh-CN"/>
        </w:rPr>
        <w:t>技术</w:t>
      </w:r>
      <w:r>
        <w:rPr>
          <w:rFonts w:hint="eastAsia" w:ascii="宋体" w:hAnsi="宋体"/>
          <w:color w:val="000000"/>
          <w:sz w:val="24"/>
          <w:lang w:eastAsia="zh-CN"/>
        </w:rPr>
        <w:t>人员78人。公司狠抓质量关，求信誉，谋发展，</w:t>
      </w:r>
      <w:r>
        <w:rPr>
          <w:rFonts w:hint="eastAsia" w:ascii="宋体" w:hAnsi="宋体"/>
          <w:color w:val="000000"/>
          <w:sz w:val="24"/>
          <w:lang w:val="en-US" w:eastAsia="zh-CN"/>
        </w:rPr>
        <w:t>已经</w:t>
      </w:r>
      <w:r>
        <w:rPr>
          <w:rFonts w:hint="eastAsia" w:ascii="宋体" w:hAnsi="宋体"/>
          <w:color w:val="000000"/>
          <w:sz w:val="24"/>
          <w:lang w:eastAsia="zh-CN"/>
        </w:rPr>
        <w:t>通过了ISO9001质量体系、ISO14001环境管理体系、</w:t>
      </w:r>
      <w:r>
        <w:rPr>
          <w:rFonts w:hint="eastAsia" w:ascii="宋体" w:hAnsi="宋体"/>
          <w:color w:val="000000"/>
          <w:sz w:val="24"/>
          <w:lang w:val="en-US" w:eastAsia="zh-CN"/>
        </w:rPr>
        <w:t>ISO45001</w:t>
      </w:r>
      <w:r>
        <w:rPr>
          <w:rFonts w:hint="eastAsia" w:ascii="宋体" w:hAnsi="宋体"/>
          <w:color w:val="000000"/>
          <w:sz w:val="24"/>
          <w:lang w:eastAsia="zh-CN"/>
        </w:rPr>
        <w:t>职业健康安全体系认证。</w:t>
      </w:r>
    </w:p>
    <w:p>
      <w:pPr>
        <w:spacing w:line="360" w:lineRule="auto"/>
        <w:ind w:firstLine="480" w:firstLineChars="200"/>
        <w:jc w:val="left"/>
        <w:rPr>
          <w:rFonts w:hint="eastAsia" w:ascii="宋体" w:hAnsi="宋体"/>
          <w:color w:val="000000"/>
          <w:sz w:val="24"/>
          <w:lang w:eastAsia="zh-CN"/>
        </w:rPr>
      </w:pPr>
      <w:r>
        <w:rPr>
          <w:rFonts w:hint="eastAsia" w:ascii="宋体" w:hAnsi="宋体"/>
          <w:color w:val="000000"/>
          <w:sz w:val="24"/>
          <w:lang w:eastAsia="zh-CN"/>
        </w:rPr>
        <w:t>金华市聚杰电器有限公司是武义县首家获评浙江省服务型制造示范企业，2021年省级新一代信息技术与制造业融合发展试点示范企业，公司与世界500强企业均建立了战略合作伙伴关系，如：博世、百得、安海、翠丰、ADEO等，是浙中地区经营电动工具行业多年的重点企业。公司采用ODM与品牌自主销售相结合的销售模式，其中外贸业务占比达90%，在全球电动工具领域也占有一定的市场份额，连续多年获得自营进出口超1000万美元企业的称号。</w:t>
      </w:r>
      <w:r>
        <w:rPr>
          <w:rFonts w:hint="eastAsia" w:ascii="宋体" w:hAnsi="宋体"/>
          <w:color w:val="000000"/>
          <w:sz w:val="24"/>
          <w:lang w:val="en-US" w:eastAsia="zh-CN"/>
        </w:rPr>
        <w:t>2021年、2022年</w:t>
      </w:r>
      <w:r>
        <w:rPr>
          <w:rFonts w:hint="eastAsia" w:ascii="宋体" w:hAnsi="宋体"/>
          <w:color w:val="000000"/>
          <w:sz w:val="24"/>
          <w:lang w:eastAsia="zh-CN"/>
        </w:rPr>
        <w:t>纳税均超1000万元，连年获评纳税</w:t>
      </w:r>
      <w:r>
        <w:rPr>
          <w:rFonts w:hint="eastAsia" w:ascii="宋体" w:hAnsi="宋体"/>
          <w:color w:val="000000"/>
          <w:sz w:val="24"/>
          <w:lang w:val="en-US" w:eastAsia="zh-CN"/>
        </w:rPr>
        <w:t>百强</w:t>
      </w:r>
      <w:r>
        <w:rPr>
          <w:rFonts w:hint="eastAsia" w:ascii="宋体" w:hAnsi="宋体"/>
          <w:color w:val="000000"/>
          <w:sz w:val="24"/>
          <w:lang w:eastAsia="zh-CN"/>
        </w:rPr>
        <w:t>单位。</w:t>
      </w:r>
    </w:p>
    <w:p>
      <w:pPr>
        <w:spacing w:line="360" w:lineRule="auto"/>
        <w:jc w:val="left"/>
        <w:rPr>
          <w:rFonts w:hint="eastAsia" w:ascii="宋体" w:hAnsi="宋体"/>
          <w:color w:val="000000"/>
          <w:sz w:val="24"/>
          <w:lang w:eastAsia="zh-CN"/>
        </w:rPr>
      </w:pPr>
      <w:r>
        <w:rPr>
          <w:rFonts w:hint="eastAsia" w:ascii="宋体" w:hAnsi="宋体"/>
          <w:color w:val="000000"/>
          <w:sz w:val="24"/>
          <w:lang w:eastAsia="zh-CN"/>
        </w:rPr>
        <w:t>面对激烈的市场竞争，公司确立了全球化品牌战略，坚持“为顾客实现工具改善生活的梦想”的企业</w:t>
      </w:r>
      <w:r>
        <w:rPr>
          <w:rFonts w:hint="eastAsia" w:ascii="宋体" w:hAnsi="宋体"/>
          <w:color w:val="000000"/>
          <w:sz w:val="24"/>
          <w:lang w:val="en-US" w:eastAsia="zh-CN"/>
        </w:rPr>
        <w:t>使命</w:t>
      </w:r>
      <w:r>
        <w:rPr>
          <w:rFonts w:hint="eastAsia" w:ascii="宋体" w:hAnsi="宋体"/>
          <w:color w:val="000000"/>
          <w:sz w:val="24"/>
          <w:lang w:eastAsia="zh-CN"/>
        </w:rPr>
        <w:t>，与时俱进，开拓创新，为实现“成为全球工具行业领先企业”愿景而奋力拼搏！</w:t>
      </w:r>
    </w:p>
    <w:p>
      <w:pPr>
        <w:spacing w:line="360" w:lineRule="auto"/>
        <w:ind w:firstLine="3012" w:firstLineChars="1250"/>
        <w:jc w:val="left"/>
        <w:rPr>
          <w:rFonts w:ascii="宋体" w:hAnsi="宋体"/>
          <w:b/>
          <w:sz w:val="24"/>
        </w:rPr>
      </w:pPr>
      <w:r>
        <w:rPr>
          <w:rFonts w:hint="eastAsia" w:ascii="宋体" w:hAnsi="宋体"/>
          <w:b/>
          <w:sz w:val="24"/>
        </w:rPr>
        <w:br w:type="page"/>
      </w:r>
      <w:r>
        <w:rPr>
          <w:rFonts w:hint="eastAsia" w:ascii="宋体" w:hAnsi="宋体"/>
          <w:b/>
          <w:sz w:val="24"/>
        </w:rPr>
        <w:t>图表-1公司</w:t>
      </w:r>
      <w:r>
        <w:rPr>
          <w:rFonts w:hint="eastAsia" w:ascii="宋体" w:hAnsi="宋体"/>
          <w:b/>
          <w:sz w:val="24"/>
          <w:lang w:val="en-US" w:eastAsia="zh-CN"/>
        </w:rPr>
        <w:t>部分</w:t>
      </w:r>
      <w:r>
        <w:rPr>
          <w:rFonts w:hint="eastAsia" w:ascii="宋体" w:hAnsi="宋体"/>
          <w:b/>
          <w:sz w:val="24"/>
        </w:rPr>
        <w:t>产品图示</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0"/>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trPr>
        <w:tc>
          <w:tcPr>
            <w:tcW w:w="4330" w:type="dxa"/>
            <w:noWrap w:val="0"/>
            <w:vAlign w:val="center"/>
          </w:tcPr>
          <w:p>
            <w:pPr>
              <w:spacing w:line="360" w:lineRule="auto"/>
              <w:jc w:val="center"/>
              <w:rPr>
                <w:rFonts w:ascii="宋体" w:hAnsi="宋体"/>
                <w:b/>
                <w:sz w:val="24"/>
              </w:rPr>
            </w:pPr>
            <w:r>
              <w:rPr>
                <w:rFonts w:ascii="宋体" w:hAnsi="宋体"/>
                <w:b/>
                <w:sz w:val="24"/>
              </w:rPr>
              <w:drawing>
                <wp:inline distT="0" distB="0" distL="114300" distR="114300">
                  <wp:extent cx="2609850" cy="26162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609850" cy="2616200"/>
                          </a:xfrm>
                          <a:prstGeom prst="rect">
                            <a:avLst/>
                          </a:prstGeom>
                          <a:noFill/>
                          <a:ln>
                            <a:noFill/>
                          </a:ln>
                        </pic:spPr>
                      </pic:pic>
                    </a:graphicData>
                  </a:graphic>
                </wp:inline>
              </w:drawing>
            </w:r>
          </w:p>
        </w:tc>
        <w:tc>
          <w:tcPr>
            <w:tcW w:w="4192" w:type="dxa"/>
            <w:noWrap w:val="0"/>
            <w:vAlign w:val="center"/>
          </w:tcPr>
          <w:p>
            <w:pPr>
              <w:spacing w:line="360" w:lineRule="auto"/>
              <w:jc w:val="left"/>
              <w:rPr>
                <w:rFonts w:ascii="宋体" w:hAnsi="宋体"/>
                <w:b/>
                <w:sz w:val="24"/>
              </w:rPr>
            </w:pPr>
            <w:r>
              <w:rPr>
                <w:rFonts w:ascii="宋体" w:hAnsi="宋体"/>
                <w:b/>
                <w:sz w:val="24"/>
              </w:rPr>
              <w:drawing>
                <wp:inline distT="0" distB="0" distL="114300" distR="114300">
                  <wp:extent cx="2522220" cy="2383790"/>
                  <wp:effectExtent l="0" t="0" r="1143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522220" cy="23837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330" w:type="dxa"/>
            <w:noWrap w:val="0"/>
            <w:vAlign w:val="center"/>
          </w:tcPr>
          <w:p>
            <w:pPr>
              <w:spacing w:line="360" w:lineRule="auto"/>
              <w:jc w:val="center"/>
              <w:rPr>
                <w:rFonts w:hint="eastAsia" w:ascii="宋体" w:hAnsi="宋体" w:eastAsia="宋体"/>
                <w:b/>
                <w:sz w:val="24"/>
                <w:lang w:eastAsia="zh-CN"/>
              </w:rPr>
            </w:pPr>
            <w:r>
              <w:rPr>
                <w:rFonts w:hint="eastAsia" w:ascii="宋体" w:hAnsi="宋体"/>
                <w:b/>
                <w:sz w:val="24"/>
                <w:lang w:val="en-US" w:eastAsia="zh-CN"/>
              </w:rPr>
              <w:t>电锤</w:t>
            </w:r>
          </w:p>
        </w:tc>
        <w:tc>
          <w:tcPr>
            <w:tcW w:w="4192" w:type="dxa"/>
            <w:noWrap w:val="0"/>
            <w:vAlign w:val="center"/>
          </w:tcPr>
          <w:p>
            <w:pPr>
              <w:spacing w:line="360" w:lineRule="auto"/>
              <w:jc w:val="center"/>
              <w:rPr>
                <w:rFonts w:hint="eastAsia" w:ascii="宋体" w:hAnsi="宋体" w:eastAsia="宋体"/>
                <w:b/>
                <w:sz w:val="24"/>
                <w:lang w:eastAsia="zh-CN"/>
              </w:rPr>
            </w:pPr>
            <w:r>
              <w:rPr>
                <w:rFonts w:hint="eastAsia" w:ascii="宋体" w:hAnsi="宋体"/>
                <w:b/>
                <w:sz w:val="24"/>
                <w:lang w:val="en-US" w:eastAsia="zh-CN"/>
              </w:rPr>
              <w:t>电钻</w:t>
            </w:r>
          </w:p>
        </w:tc>
      </w:tr>
    </w:tbl>
    <w:p>
      <w:pPr>
        <w:pStyle w:val="47"/>
        <w:spacing w:line="360" w:lineRule="auto"/>
        <w:jc w:val="center"/>
        <w:rPr>
          <w:rFonts w:hint="eastAsia" w:ascii="宋体" w:hAnsi="宋体"/>
          <w:b/>
          <w:color w:val="000000"/>
          <w:sz w:val="24"/>
          <w:szCs w:val="24"/>
        </w:rPr>
      </w:pPr>
    </w:p>
    <w:p>
      <w:pPr>
        <w:pStyle w:val="47"/>
        <w:spacing w:line="360" w:lineRule="auto"/>
        <w:jc w:val="center"/>
        <w:rPr>
          <w:rFonts w:hint="eastAsia" w:ascii="宋体" w:hAnsi="宋体"/>
          <w:b/>
          <w:color w:val="000000"/>
          <w:sz w:val="24"/>
          <w:szCs w:val="24"/>
        </w:rPr>
      </w:pPr>
    </w:p>
    <w:p>
      <w:pPr>
        <w:pStyle w:val="3"/>
        <w:numPr>
          <w:ilvl w:val="0"/>
          <w:numId w:val="0"/>
        </w:numPr>
        <w:spacing w:before="0" w:after="0" w:line="360" w:lineRule="auto"/>
        <w:rPr>
          <w:rFonts w:hint="eastAsia" w:ascii="宋体" w:hAnsi="宋体"/>
        </w:rPr>
      </w:pPr>
      <w:bookmarkStart w:id="7" w:name="_Toc13842"/>
      <w:r>
        <w:rPr>
          <w:rFonts w:hint="eastAsia" w:ascii="宋体" w:hAnsi="宋体"/>
        </w:rPr>
        <w:t>1.2 企业文化</w:t>
      </w:r>
      <w:bookmarkEnd w:id="7"/>
    </w:p>
    <w:tbl>
      <w:tblPr>
        <w:tblStyle w:val="18"/>
        <w:tblW w:w="0" w:type="auto"/>
        <w:jc w:val="center"/>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Layout w:type="fixed"/>
        <w:tblCellMar>
          <w:top w:w="0" w:type="dxa"/>
          <w:left w:w="108" w:type="dxa"/>
          <w:bottom w:w="0" w:type="dxa"/>
          <w:right w:w="108" w:type="dxa"/>
        </w:tblCellMar>
      </w:tblPr>
      <w:tblGrid>
        <w:gridCol w:w="1460"/>
        <w:gridCol w:w="7439"/>
      </w:tblGrid>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108" w:type="dxa"/>
            <w:bottom w:w="0" w:type="dxa"/>
            <w:right w:w="108" w:type="dxa"/>
          </w:tblCellMar>
        </w:tblPrEx>
        <w:trPr>
          <w:trHeight w:val="450" w:hRule="atLeast"/>
          <w:jc w:val="center"/>
        </w:trPr>
        <w:tc>
          <w:tcPr>
            <w:tcW w:w="1460"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企业使命</w:t>
            </w:r>
          </w:p>
        </w:tc>
        <w:tc>
          <w:tcPr>
            <w:tcW w:w="7439"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为顾客实现工具改善生活的梦想</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108" w:type="dxa"/>
            <w:bottom w:w="0" w:type="dxa"/>
            <w:right w:w="108" w:type="dxa"/>
          </w:tblCellMar>
        </w:tblPrEx>
        <w:trPr>
          <w:trHeight w:val="473" w:hRule="atLeast"/>
          <w:jc w:val="center"/>
        </w:trPr>
        <w:tc>
          <w:tcPr>
            <w:tcW w:w="1460"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企业愿景</w:t>
            </w:r>
          </w:p>
        </w:tc>
        <w:tc>
          <w:tcPr>
            <w:tcW w:w="7439"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成为全球工具行业领先企业</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108" w:type="dxa"/>
            <w:bottom w:w="0" w:type="dxa"/>
            <w:right w:w="108" w:type="dxa"/>
          </w:tblCellMar>
        </w:tblPrEx>
        <w:trPr>
          <w:trHeight w:val="394" w:hRule="atLeast"/>
          <w:jc w:val="center"/>
        </w:trPr>
        <w:tc>
          <w:tcPr>
            <w:tcW w:w="1460"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核心价值观</w:t>
            </w:r>
          </w:p>
        </w:tc>
        <w:tc>
          <w:tcPr>
            <w:tcW w:w="7439"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正、容、韧、爱、智、勇</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108" w:type="dxa"/>
            <w:bottom w:w="0" w:type="dxa"/>
            <w:right w:w="108" w:type="dxa"/>
          </w:tblCellMar>
        </w:tblPrEx>
        <w:trPr>
          <w:trHeight w:val="360" w:hRule="atLeast"/>
          <w:jc w:val="center"/>
        </w:trPr>
        <w:tc>
          <w:tcPr>
            <w:tcW w:w="1460" w:type="dxa"/>
            <w:noWrap w:val="0"/>
            <w:vAlign w:val="center"/>
          </w:tcPr>
          <w:p>
            <w:pPr>
              <w:pStyle w:val="3"/>
              <w:numPr>
                <w:ilvl w:val="0"/>
                <w:numId w:val="0"/>
              </w:numPr>
              <w:spacing w:before="0" w:after="0" w:line="360" w:lineRule="auto"/>
              <w:rPr>
                <w:rFonts w:hint="eastAsia" w:ascii="宋体" w:hAnsi="宋体"/>
                <w:b/>
                <w:sz w:val="24"/>
                <w:lang w:val="en-US" w:eastAsia="zh-CN"/>
              </w:rPr>
            </w:pPr>
            <w:r>
              <w:rPr>
                <w:rFonts w:hint="eastAsia" w:ascii="宋体" w:hAnsi="宋体"/>
                <w:b/>
                <w:sz w:val="24"/>
                <w:lang w:val="en-US" w:eastAsia="zh-CN"/>
              </w:rPr>
              <w:t>质量口号</w:t>
            </w:r>
          </w:p>
        </w:tc>
        <w:tc>
          <w:tcPr>
            <w:tcW w:w="7439"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谁对质量负责，我对质量负责！</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108" w:type="dxa"/>
            <w:bottom w:w="0" w:type="dxa"/>
            <w:right w:w="108" w:type="dxa"/>
          </w:tblCellMar>
        </w:tblPrEx>
        <w:trPr>
          <w:trHeight w:val="360" w:hRule="atLeast"/>
          <w:jc w:val="center"/>
        </w:trPr>
        <w:tc>
          <w:tcPr>
            <w:tcW w:w="1460"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lang w:val="en-US" w:eastAsia="zh-CN"/>
              </w:rPr>
              <w:t>经营</w:t>
            </w:r>
            <w:r>
              <w:rPr>
                <w:rFonts w:hint="eastAsia" w:ascii="宋体" w:hAnsi="宋体"/>
                <w:b/>
                <w:sz w:val="24"/>
              </w:rPr>
              <w:t>理念</w:t>
            </w:r>
          </w:p>
        </w:tc>
        <w:tc>
          <w:tcPr>
            <w:tcW w:w="7439" w:type="dxa"/>
            <w:noWrap w:val="0"/>
            <w:vAlign w:val="center"/>
          </w:tcPr>
          <w:p>
            <w:pPr>
              <w:pStyle w:val="3"/>
              <w:numPr>
                <w:ilvl w:val="0"/>
                <w:numId w:val="0"/>
              </w:numPr>
              <w:spacing w:before="0" w:after="0" w:line="360" w:lineRule="auto"/>
              <w:rPr>
                <w:rFonts w:hint="eastAsia" w:ascii="宋体" w:hAnsi="宋体"/>
                <w:b/>
                <w:sz w:val="24"/>
              </w:rPr>
            </w:pPr>
            <w:r>
              <w:rPr>
                <w:rFonts w:hint="eastAsia" w:ascii="宋体" w:hAnsi="宋体"/>
                <w:b/>
                <w:sz w:val="24"/>
              </w:rPr>
              <w:t>用户至上、牢记使命、合作共赢、创造价值</w:t>
            </w:r>
          </w:p>
        </w:tc>
      </w:tr>
    </w:tbl>
    <w:p>
      <w:pPr>
        <w:pStyle w:val="3"/>
        <w:numPr>
          <w:ilvl w:val="0"/>
          <w:numId w:val="0"/>
        </w:numPr>
        <w:spacing w:before="0" w:after="0" w:line="360" w:lineRule="auto"/>
        <w:rPr>
          <w:rFonts w:hint="eastAsia" w:ascii="宋体" w:hAnsi="宋体"/>
        </w:rPr>
      </w:pPr>
      <w:r>
        <w:rPr>
          <w:rFonts w:hint="eastAsia" w:ascii="宋体" w:hAnsi="宋体"/>
        </w:rPr>
        <w:br w:type="page"/>
      </w:r>
      <w:bookmarkStart w:id="8" w:name="_Toc10702"/>
      <w:r>
        <w:rPr>
          <w:rFonts w:hint="eastAsia" w:ascii="宋体" w:hAnsi="宋体"/>
        </w:rPr>
        <w:t>1.3最高</w:t>
      </w:r>
      <w:r>
        <w:rPr>
          <w:rFonts w:ascii="宋体" w:hAnsi="宋体"/>
        </w:rPr>
        <w:t>管理者的社会责任承诺</w:t>
      </w:r>
      <w:bookmarkEnd w:id="8"/>
    </w:p>
    <w:p>
      <w:pPr>
        <w:snapToGrid w:val="0"/>
        <w:spacing w:line="360" w:lineRule="auto"/>
        <w:ind w:right="325" w:rightChars="155" w:firstLine="2891" w:firstLineChars="900"/>
        <w:rPr>
          <w:rFonts w:hint="eastAsia" w:ascii="宋体" w:hAnsi="宋体"/>
          <w:b/>
          <w:bCs/>
          <w:sz w:val="32"/>
          <w:szCs w:val="32"/>
        </w:rPr>
      </w:pPr>
    </w:p>
    <w:p>
      <w:pPr>
        <w:snapToGrid w:val="0"/>
        <w:spacing w:line="360" w:lineRule="auto"/>
        <w:ind w:right="325" w:rightChars="155" w:firstLine="2891" w:firstLineChars="900"/>
        <w:rPr>
          <w:rFonts w:hint="eastAsia"/>
          <w:sz w:val="32"/>
          <w:szCs w:val="32"/>
        </w:rPr>
      </w:pPr>
      <w:r>
        <w:rPr>
          <w:rFonts w:hint="eastAsia" w:ascii="宋体" w:hAnsi="宋体"/>
          <w:b/>
          <w:bCs/>
          <w:sz w:val="32"/>
          <w:szCs w:val="32"/>
        </w:rPr>
        <w:t>社会责任</w:t>
      </w:r>
      <w:r>
        <w:rPr>
          <w:rFonts w:ascii="宋体" w:hAnsi="宋体"/>
          <w:b/>
          <w:bCs/>
          <w:sz w:val="32"/>
          <w:szCs w:val="32"/>
        </w:rPr>
        <w:t>承诺书</w:t>
      </w:r>
    </w:p>
    <w:p>
      <w:pPr>
        <w:snapToGrid w:val="0"/>
        <w:spacing w:line="360" w:lineRule="auto"/>
        <w:ind w:right="325" w:rightChars="155"/>
        <w:rPr>
          <w:sz w:val="24"/>
        </w:rPr>
      </w:pPr>
      <w:r>
        <w:rPr>
          <w:rFonts w:hint="eastAsia"/>
          <w:sz w:val="24"/>
        </w:rPr>
        <w:t>我</w:t>
      </w:r>
      <w:r>
        <w:rPr>
          <w:sz w:val="24"/>
        </w:rPr>
        <w:t>们承诺：</w:t>
      </w:r>
    </w:p>
    <w:p>
      <w:pPr>
        <w:snapToGrid w:val="0"/>
        <w:spacing w:line="360" w:lineRule="auto"/>
        <w:ind w:right="325" w:rightChars="155" w:firstLine="480" w:firstLineChars="200"/>
        <w:rPr>
          <w:rFonts w:hint="eastAsia" w:ascii="宋体" w:hAnsi="宋体"/>
          <w:bCs/>
          <w:sz w:val="24"/>
        </w:rPr>
      </w:pPr>
      <w:r>
        <w:rPr>
          <w:rFonts w:ascii="宋体" w:hAnsi="宋体"/>
          <w:bCs/>
          <w:sz w:val="24"/>
        </w:rPr>
        <w:t>我们将不遗余力地履行对所有利益相关方的承诺，从产品研发、原料采购、生产制造，到能源资源利用和废弃物管理，始终致力于在产品全生命周期内践行可持续发展。</w:t>
      </w:r>
    </w:p>
    <w:p>
      <w:pPr>
        <w:snapToGrid w:val="0"/>
        <w:spacing w:line="360" w:lineRule="auto"/>
        <w:ind w:right="325" w:rightChars="155" w:firstLine="482" w:firstLineChars="200"/>
        <w:rPr>
          <w:rFonts w:ascii="宋体" w:hAnsi="宋体"/>
          <w:b/>
          <w:bCs/>
          <w:sz w:val="24"/>
        </w:rPr>
      </w:pPr>
      <w:r>
        <w:rPr>
          <w:rFonts w:ascii="宋体" w:hAnsi="宋体"/>
          <w:b/>
          <w:bCs/>
          <w:sz w:val="24"/>
        </w:rPr>
        <w:t>遵标守法</w:t>
      </w:r>
      <w:r>
        <w:rPr>
          <w:rFonts w:hint="eastAsia" w:ascii="宋体" w:hAnsi="宋体"/>
          <w:b/>
          <w:bCs/>
          <w:sz w:val="24"/>
        </w:rPr>
        <w:t>：</w:t>
      </w:r>
      <w:r>
        <w:rPr>
          <w:rFonts w:hint="eastAsia" w:ascii="宋体" w:hAnsi="宋体"/>
          <w:bCs/>
          <w:sz w:val="24"/>
        </w:rPr>
        <w:t>遵</w:t>
      </w:r>
      <w:r>
        <w:rPr>
          <w:rFonts w:ascii="宋体" w:hAnsi="宋体"/>
          <w:bCs/>
          <w:sz w:val="24"/>
        </w:rPr>
        <w:t>守国家及地方法律法规，国家、地方及行业的相关社会责任标准。</w:t>
      </w:r>
    </w:p>
    <w:p>
      <w:pPr>
        <w:snapToGrid w:val="0"/>
        <w:spacing w:line="360" w:lineRule="auto"/>
        <w:ind w:right="325" w:rightChars="155" w:firstLine="482" w:firstLineChars="200"/>
        <w:jc w:val="left"/>
        <w:rPr>
          <w:rFonts w:ascii="宋体" w:hAnsi="宋体"/>
          <w:bCs/>
          <w:sz w:val="24"/>
        </w:rPr>
      </w:pPr>
      <w:r>
        <w:rPr>
          <w:rFonts w:ascii="宋体" w:hAnsi="宋体"/>
          <w:b/>
          <w:bCs/>
          <w:sz w:val="24"/>
        </w:rPr>
        <w:t>职业健康</w:t>
      </w:r>
      <w:r>
        <w:rPr>
          <w:rFonts w:hint="eastAsia" w:ascii="宋体" w:hAnsi="宋体"/>
          <w:b/>
          <w:bCs/>
          <w:sz w:val="24"/>
        </w:rPr>
        <w:t>：</w:t>
      </w:r>
      <w:r>
        <w:rPr>
          <w:rFonts w:ascii="宋体" w:hAnsi="宋体"/>
          <w:bCs/>
          <w:sz w:val="24"/>
        </w:rPr>
        <w:t xml:space="preserve"> 向员工工作与生活提供健康安全的环境，关爱员工，禁止童工、反歧视、反强迫劳动、惩罚员工，尊重所有员工自愿组织并加入工会以及进行集体谈判的权力，遵守工时要求，并努力为员工提供成长空间。</w:t>
      </w:r>
      <w:r>
        <w:rPr>
          <w:rFonts w:hint="eastAsia" w:ascii="宋体" w:hAnsi="宋体"/>
          <w:bCs/>
          <w:sz w:val="24"/>
        </w:rPr>
        <w:t>组织</w:t>
      </w:r>
      <w:r>
        <w:rPr>
          <w:rFonts w:ascii="宋体" w:hAnsi="宋体"/>
          <w:bCs/>
          <w:sz w:val="24"/>
        </w:rPr>
        <w:t>职工进行体检，做好职业病防治工作。</w:t>
      </w:r>
    </w:p>
    <w:p>
      <w:pPr>
        <w:snapToGrid w:val="0"/>
        <w:spacing w:line="360" w:lineRule="auto"/>
        <w:ind w:right="325" w:rightChars="155" w:firstLine="487" w:firstLineChars="202"/>
        <w:jc w:val="left"/>
        <w:rPr>
          <w:rFonts w:ascii="宋体" w:hAnsi="宋体"/>
          <w:bCs/>
          <w:sz w:val="24"/>
        </w:rPr>
      </w:pPr>
      <w:r>
        <w:rPr>
          <w:rFonts w:ascii="宋体" w:hAnsi="宋体"/>
          <w:b/>
          <w:bCs/>
          <w:sz w:val="24"/>
        </w:rPr>
        <w:t>安全环保</w:t>
      </w:r>
      <w:r>
        <w:rPr>
          <w:rFonts w:hint="eastAsia" w:ascii="宋体" w:hAnsi="宋体"/>
          <w:b/>
          <w:bCs/>
          <w:sz w:val="24"/>
        </w:rPr>
        <w:t>：</w:t>
      </w:r>
      <w:r>
        <w:rPr>
          <w:rFonts w:ascii="宋体" w:hAnsi="宋体"/>
          <w:bCs/>
          <w:sz w:val="24"/>
        </w:rPr>
        <w:t>遵循安全第一的思想，构建安全管理体系；遵循绿色低碳的理念，防治或整治污染，节能减废，实行清洁生产审核，为社会提供安全环保的产品与服务。</w:t>
      </w:r>
    </w:p>
    <w:p>
      <w:pPr>
        <w:snapToGrid w:val="0"/>
        <w:spacing w:line="360" w:lineRule="auto"/>
        <w:ind w:right="325" w:rightChars="155" w:firstLine="487" w:firstLineChars="202"/>
        <w:jc w:val="left"/>
        <w:rPr>
          <w:rFonts w:hint="eastAsia" w:ascii="宋体" w:hAnsi="宋体"/>
          <w:bCs/>
          <w:sz w:val="24"/>
        </w:rPr>
      </w:pPr>
      <w:r>
        <w:rPr>
          <w:rFonts w:ascii="宋体" w:hAnsi="宋体"/>
          <w:b/>
          <w:bCs/>
          <w:sz w:val="24"/>
        </w:rPr>
        <w:t>自愿接受评估</w:t>
      </w:r>
      <w:r>
        <w:rPr>
          <w:rFonts w:hint="eastAsia" w:ascii="宋体" w:hAnsi="宋体"/>
          <w:b/>
          <w:bCs/>
          <w:sz w:val="24"/>
        </w:rPr>
        <w:t>：</w:t>
      </w:r>
      <w:r>
        <w:rPr>
          <w:rFonts w:ascii="宋体" w:hAnsi="宋体"/>
          <w:bCs/>
          <w:sz w:val="24"/>
        </w:rPr>
        <w:t>我方自愿接受第三方社会责任评估活动，如果</w:t>
      </w:r>
      <w:r>
        <w:rPr>
          <w:rFonts w:hint="eastAsia" w:ascii="宋体" w:hAnsi="宋体"/>
          <w:bCs/>
          <w:sz w:val="24"/>
        </w:rPr>
        <w:t>公司</w:t>
      </w:r>
      <w:r>
        <w:rPr>
          <w:rFonts w:ascii="宋体" w:hAnsi="宋体"/>
          <w:bCs/>
          <w:sz w:val="24"/>
        </w:rPr>
        <w:t>违反上述承诺，</w:t>
      </w:r>
      <w:r>
        <w:rPr>
          <w:rFonts w:hint="eastAsia" w:ascii="宋体" w:hAnsi="宋体"/>
          <w:bCs/>
          <w:sz w:val="24"/>
        </w:rPr>
        <w:t>公司</w:t>
      </w:r>
      <w:r>
        <w:rPr>
          <w:rFonts w:ascii="宋体" w:hAnsi="宋体"/>
          <w:bCs/>
          <w:sz w:val="24"/>
        </w:rPr>
        <w:t>愿意依法采取纠正措施，并逐步完善体系，并传达于供应商及分包商。</w:t>
      </w:r>
    </w:p>
    <w:p>
      <w:pPr>
        <w:snapToGrid w:val="0"/>
        <w:spacing w:line="360" w:lineRule="auto"/>
        <w:ind w:right="325" w:rightChars="155" w:firstLine="484" w:firstLineChars="202"/>
        <w:jc w:val="left"/>
        <w:rPr>
          <w:rFonts w:hint="eastAsia" w:ascii="宋体" w:hAnsi="宋体"/>
          <w:bCs/>
          <w:sz w:val="24"/>
        </w:rPr>
      </w:pPr>
    </w:p>
    <w:p>
      <w:pPr>
        <w:snapToGrid w:val="0"/>
        <w:spacing w:line="360" w:lineRule="auto"/>
        <w:ind w:right="325" w:rightChars="155" w:firstLine="484" w:firstLineChars="202"/>
        <w:jc w:val="left"/>
        <w:rPr>
          <w:rFonts w:hint="eastAsia" w:ascii="宋体" w:hAnsi="宋体"/>
          <w:bCs/>
          <w:sz w:val="24"/>
        </w:rPr>
      </w:pPr>
    </w:p>
    <w:p>
      <w:pPr>
        <w:snapToGrid w:val="0"/>
        <w:spacing w:line="360" w:lineRule="auto"/>
        <w:ind w:right="325" w:rightChars="155" w:firstLine="4560" w:firstLineChars="1900"/>
        <w:rPr>
          <w:rFonts w:hint="eastAsia" w:ascii="宋体" w:hAnsi="宋体"/>
          <w:bCs/>
          <w:sz w:val="24"/>
        </w:rPr>
      </w:pPr>
    </w:p>
    <w:p>
      <w:pPr>
        <w:snapToGrid w:val="0"/>
        <w:spacing w:line="360" w:lineRule="auto"/>
        <w:ind w:right="325" w:rightChars="155" w:firstLine="4560" w:firstLineChars="1900"/>
        <w:rPr>
          <w:rFonts w:hint="eastAsia" w:ascii="宋体" w:hAnsi="宋体"/>
          <w:bCs/>
          <w:sz w:val="24"/>
        </w:rPr>
      </w:pPr>
    </w:p>
    <w:p>
      <w:pPr>
        <w:snapToGrid w:val="0"/>
        <w:spacing w:line="360" w:lineRule="auto"/>
        <w:ind w:right="325" w:rightChars="155" w:firstLine="5520" w:firstLineChars="2300"/>
        <w:rPr>
          <w:rFonts w:hint="eastAsia" w:ascii="宋体" w:hAnsi="宋体"/>
          <w:bCs/>
          <w:sz w:val="24"/>
        </w:rPr>
      </w:pPr>
      <w:r>
        <w:rPr>
          <w:rFonts w:hint="eastAsia" w:ascii="宋体" w:hAnsi="宋体"/>
          <w:bCs/>
          <w:sz w:val="24"/>
        </w:rPr>
        <w:t>董事长：</w:t>
      </w:r>
      <w:r>
        <w:rPr>
          <w:rFonts w:hint="eastAsia" w:ascii="宋体" w:hAnsi="宋体"/>
          <w:bCs/>
          <w:sz w:val="24"/>
        </w:rPr>
        <w:fldChar w:fldCharType="begin"/>
      </w:r>
      <w:r>
        <w:rPr>
          <w:rFonts w:hint="eastAsia" w:ascii="宋体" w:hAnsi="宋体"/>
          <w:bCs/>
          <w:sz w:val="24"/>
        </w:rPr>
        <w:instrText xml:space="preserve"> HYPERLINK "https://www.qcc.com/pl/pr4383195430f5cd689c804e74fcaf6a.html" \t "https://www.qcc.com/web/_blank" </w:instrText>
      </w:r>
      <w:r>
        <w:rPr>
          <w:rFonts w:hint="eastAsia" w:ascii="宋体" w:hAnsi="宋体"/>
          <w:bCs/>
          <w:sz w:val="24"/>
        </w:rPr>
        <w:fldChar w:fldCharType="separate"/>
      </w:r>
      <w:r>
        <w:rPr>
          <w:rFonts w:hint="eastAsia" w:ascii="宋体" w:hAnsi="宋体"/>
          <w:bCs/>
          <w:sz w:val="24"/>
        </w:rPr>
        <w:t>陈展</w:t>
      </w:r>
      <w:r>
        <w:rPr>
          <w:rFonts w:hint="eastAsia" w:ascii="宋体" w:hAnsi="宋体"/>
          <w:bCs/>
          <w:sz w:val="24"/>
        </w:rPr>
        <w:fldChar w:fldCharType="end"/>
      </w:r>
    </w:p>
    <w:p>
      <w:pPr>
        <w:pStyle w:val="3"/>
        <w:numPr>
          <w:ilvl w:val="0"/>
          <w:numId w:val="0"/>
        </w:numPr>
        <w:spacing w:before="0" w:after="0" w:line="360" w:lineRule="auto"/>
        <w:rPr>
          <w:rFonts w:hint="eastAsia" w:ascii="宋体" w:hAnsi="宋体"/>
        </w:rPr>
      </w:pPr>
      <w:r>
        <w:rPr>
          <w:rFonts w:hint="eastAsia" w:ascii="宋体" w:hAnsi="宋体"/>
        </w:rPr>
        <w:br w:type="page"/>
      </w:r>
      <w:bookmarkStart w:id="9" w:name="_Toc7741"/>
      <w:r>
        <w:rPr>
          <w:rFonts w:hint="eastAsia" w:ascii="宋体" w:hAnsi="宋体"/>
        </w:rPr>
        <w:t>1.4 社会</w:t>
      </w:r>
      <w:r>
        <w:rPr>
          <w:rFonts w:ascii="宋体" w:hAnsi="宋体"/>
        </w:rPr>
        <w:t>责任</w:t>
      </w:r>
      <w:r>
        <w:rPr>
          <w:rFonts w:hint="eastAsia" w:ascii="宋体" w:hAnsi="宋体"/>
        </w:rPr>
        <w:t>战略</w:t>
      </w:r>
      <w:bookmarkEnd w:id="9"/>
    </w:p>
    <w:p>
      <w:pPr>
        <w:pStyle w:val="15"/>
        <w:spacing w:before="0" w:beforeAutospacing="0" w:after="0" w:afterAutospacing="0" w:line="360" w:lineRule="auto"/>
        <w:ind w:firstLine="480" w:firstLineChars="200"/>
        <w:rPr>
          <w:rFonts w:cs="Times New Roman"/>
          <w:bCs/>
          <w:kern w:val="2"/>
        </w:rPr>
      </w:pPr>
      <w:r>
        <w:rPr>
          <w:rFonts w:hint="eastAsia" w:cs="Times New Roman"/>
          <w:bCs/>
          <w:kern w:val="2"/>
        </w:rPr>
        <w:t>为保证企业社会责任的有效落实，</w:t>
      </w:r>
      <w:r>
        <w:rPr>
          <w:rFonts w:cs="Times New Roman"/>
          <w:bCs/>
          <w:kern w:val="2"/>
        </w:rPr>
        <w:t>公司</w:t>
      </w:r>
      <w:r>
        <w:rPr>
          <w:rFonts w:hint="eastAsia" w:cs="Times New Roman"/>
          <w:bCs/>
          <w:kern w:val="2"/>
        </w:rPr>
        <w:t>由董事长为首的高层领导负责制定战略目标和规划，管理和协调公司的社会责任和可持续发展方面的工作，以此确保企业运营能够为社会、环境及利益相关方带来积极的影响，进而促进企业和整个社会的可持续发展。</w:t>
      </w:r>
    </w:p>
    <w:p>
      <w:pPr>
        <w:pStyle w:val="3"/>
        <w:numPr>
          <w:ilvl w:val="0"/>
          <w:numId w:val="0"/>
        </w:numPr>
        <w:spacing w:before="0" w:after="0" w:line="360" w:lineRule="auto"/>
        <w:rPr>
          <w:rFonts w:hint="eastAsia" w:ascii="宋体" w:hAnsi="宋体"/>
        </w:rPr>
      </w:pPr>
      <w:bookmarkStart w:id="10" w:name="_Toc31094"/>
      <w:r>
        <w:rPr>
          <w:rFonts w:hint="eastAsia" w:ascii="宋体" w:hAnsi="宋体"/>
        </w:rPr>
        <w:t>1.5 利益</w:t>
      </w:r>
      <w:r>
        <w:rPr>
          <w:rFonts w:ascii="宋体" w:hAnsi="宋体"/>
        </w:rPr>
        <w:t>相关方识别和沟通</w:t>
      </w:r>
      <w:bookmarkEnd w:id="10"/>
    </w:p>
    <w:p>
      <w:pPr>
        <w:spacing w:line="360" w:lineRule="auto"/>
        <w:ind w:firstLine="480" w:firstLineChars="200"/>
        <w:rPr>
          <w:rFonts w:ascii="宋体" w:hAnsi="宋体"/>
          <w:kern w:val="0"/>
          <w:sz w:val="24"/>
        </w:rPr>
      </w:pPr>
      <w:r>
        <w:rPr>
          <w:rFonts w:hint="eastAsia" w:ascii="宋体" w:hAnsi="宋体"/>
          <w:kern w:val="0"/>
          <w:sz w:val="24"/>
        </w:rPr>
        <w:t>利益相关方沟通是企业社会责任管理的重要部分。公司</w:t>
      </w:r>
      <w:r>
        <w:rPr>
          <w:rFonts w:ascii="宋体" w:hAnsi="宋体"/>
          <w:kern w:val="0"/>
          <w:sz w:val="24"/>
        </w:rPr>
        <w:t>高层领导全方位、多角度地向员工、顾客、供应商、政府及社会组织进行双向沟通，促进企业文化不断繁荣和发展。</w:t>
      </w:r>
      <w:r>
        <w:rPr>
          <w:rFonts w:hint="eastAsia" w:ascii="宋体" w:hAnsi="宋体"/>
          <w:kern w:val="0"/>
          <w:sz w:val="24"/>
        </w:rPr>
        <w:t>我们通过多种渠道和方式，</w:t>
      </w:r>
      <w:r>
        <w:rPr>
          <w:rFonts w:ascii="宋体" w:hAnsi="宋体"/>
          <w:kern w:val="0"/>
          <w:sz w:val="24"/>
        </w:rPr>
        <w:t>了解</w:t>
      </w:r>
      <w:r>
        <w:rPr>
          <w:rFonts w:hint="eastAsia" w:ascii="宋体" w:hAnsi="宋体"/>
          <w:kern w:val="0"/>
          <w:sz w:val="24"/>
        </w:rPr>
        <w:t>各方诉求和建议，履行各类责任。</w:t>
      </w:r>
    </w:p>
    <w:p>
      <w:pPr>
        <w:adjustRightInd w:val="0"/>
        <w:snapToGrid w:val="0"/>
        <w:spacing w:line="360" w:lineRule="auto"/>
        <w:ind w:right="325" w:rightChars="155"/>
        <w:jc w:val="center"/>
        <w:rPr>
          <w:rFonts w:hint="eastAsia" w:ascii="宋体" w:hAnsi="宋体"/>
          <w:b/>
          <w:color w:val="000000"/>
          <w:sz w:val="24"/>
        </w:rPr>
      </w:pPr>
    </w:p>
    <w:p>
      <w:pPr>
        <w:adjustRightInd w:val="0"/>
        <w:snapToGrid w:val="0"/>
        <w:spacing w:line="360" w:lineRule="auto"/>
        <w:ind w:right="325" w:rightChars="155"/>
        <w:jc w:val="center"/>
        <w:outlineLvl w:val="1"/>
        <w:rPr>
          <w:rFonts w:ascii="宋体" w:hAnsi="宋体"/>
          <w:b/>
          <w:sz w:val="22"/>
          <w:szCs w:val="21"/>
        </w:rPr>
      </w:pPr>
      <w:bookmarkStart w:id="11" w:name="_Toc2023"/>
      <w:r>
        <w:rPr>
          <w:rFonts w:hint="eastAsia" w:ascii="宋体" w:hAnsi="宋体"/>
          <w:b/>
          <w:color w:val="000000"/>
          <w:sz w:val="24"/>
        </w:rPr>
        <w:t xml:space="preserve">图表-2 </w:t>
      </w:r>
      <w:r>
        <w:rPr>
          <w:rFonts w:ascii="宋体" w:hAnsi="宋体"/>
          <w:b/>
          <w:sz w:val="22"/>
          <w:szCs w:val="21"/>
        </w:rPr>
        <w:t>多渠道与相关方沟通</w:t>
      </w:r>
      <w:bookmarkEnd w:id="11"/>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42" w:type="dxa"/>
            <w:shd w:val="clear" w:color="auto" w:fill="FDE9D9"/>
            <w:noWrap w:val="0"/>
            <w:vAlign w:val="center"/>
          </w:tcPr>
          <w:p>
            <w:pPr>
              <w:adjustRightInd w:val="0"/>
              <w:snapToGrid w:val="0"/>
              <w:spacing w:line="300" w:lineRule="auto"/>
              <w:jc w:val="center"/>
              <w:rPr>
                <w:b/>
                <w:szCs w:val="22"/>
              </w:rPr>
            </w:pPr>
            <w:r>
              <w:rPr>
                <w:b/>
                <w:szCs w:val="22"/>
              </w:rPr>
              <w:t>对象</w:t>
            </w:r>
          </w:p>
        </w:tc>
        <w:tc>
          <w:tcPr>
            <w:tcW w:w="7230" w:type="dxa"/>
            <w:shd w:val="clear" w:color="auto" w:fill="FDE9D9"/>
            <w:noWrap w:val="0"/>
            <w:vAlign w:val="center"/>
          </w:tcPr>
          <w:p>
            <w:pPr>
              <w:adjustRightInd w:val="0"/>
              <w:snapToGrid w:val="0"/>
              <w:spacing w:line="300" w:lineRule="auto"/>
              <w:jc w:val="center"/>
              <w:rPr>
                <w:b/>
                <w:szCs w:val="22"/>
              </w:rPr>
            </w:pPr>
            <w:r>
              <w:rPr>
                <w:b/>
                <w:szCs w:val="22"/>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noWrap w:val="0"/>
            <w:vAlign w:val="center"/>
          </w:tcPr>
          <w:p>
            <w:pPr>
              <w:adjustRightInd w:val="0"/>
              <w:snapToGrid w:val="0"/>
              <w:spacing w:line="300" w:lineRule="auto"/>
              <w:jc w:val="center"/>
              <w:rPr>
                <w:b/>
                <w:szCs w:val="22"/>
              </w:rPr>
            </w:pPr>
            <w:r>
              <w:rPr>
                <w:b/>
                <w:szCs w:val="22"/>
              </w:rPr>
              <w:t>员工</w:t>
            </w:r>
          </w:p>
        </w:tc>
        <w:tc>
          <w:tcPr>
            <w:tcW w:w="7230" w:type="dxa"/>
            <w:noWrap w:val="0"/>
            <w:vAlign w:val="center"/>
          </w:tcPr>
          <w:p>
            <w:pPr>
              <w:adjustRightInd w:val="0"/>
              <w:snapToGrid w:val="0"/>
              <w:spacing w:line="300" w:lineRule="auto"/>
              <w:rPr>
                <w:szCs w:val="22"/>
              </w:rPr>
            </w:pPr>
            <w:r>
              <w:rPr>
                <w:szCs w:val="22"/>
              </w:rPr>
              <w:t>《员工手册》、门户网站、宣传册、目视化看板、宣传标识、宣传栏、产品展厅等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师带徒、弟子规培训、论语培训、企业文化培训、新员工培训等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年终总结大会、内部分享会、各级例会、员工座谈会等会议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企业文化活动（如：年终晚会、旅游/体育活动等）、学习交流会、成果分享会</w:t>
            </w:r>
            <w:r>
              <w:rPr>
                <w:rFonts w:hint="eastAsia"/>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微信群、</w:t>
            </w:r>
            <w:r>
              <w:rPr>
                <w:rFonts w:hint="eastAsia"/>
                <w:szCs w:val="22"/>
                <w:lang w:eastAsia="zh-CN"/>
              </w:rPr>
              <w:t>钉钉、</w:t>
            </w:r>
            <w:r>
              <w:rPr>
                <w:szCs w:val="22"/>
              </w:rPr>
              <w:t>电话、邮件等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adjustRightInd w:val="0"/>
              <w:snapToGrid w:val="0"/>
              <w:spacing w:line="300" w:lineRule="auto"/>
              <w:jc w:val="center"/>
              <w:rPr>
                <w:b/>
                <w:szCs w:val="22"/>
              </w:rPr>
            </w:pPr>
            <w:r>
              <w:rPr>
                <w:b/>
                <w:szCs w:val="22"/>
              </w:rPr>
              <w:t>客户</w:t>
            </w:r>
          </w:p>
        </w:tc>
        <w:tc>
          <w:tcPr>
            <w:tcW w:w="7230" w:type="dxa"/>
            <w:noWrap w:val="0"/>
            <w:vAlign w:val="center"/>
          </w:tcPr>
          <w:p>
            <w:pPr>
              <w:adjustRightInd w:val="0"/>
              <w:snapToGrid w:val="0"/>
              <w:spacing w:line="300" w:lineRule="auto"/>
              <w:rPr>
                <w:szCs w:val="22"/>
              </w:rPr>
            </w:pPr>
            <w:r>
              <w:rPr>
                <w:szCs w:val="22"/>
              </w:rPr>
              <w:t>门户网站、产品展厅、广告媒体宣传、客户验厂、宣传册、高层拜访、电话沟通、顾客满意度调查、服务热线等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242" w:type="dxa"/>
            <w:noWrap w:val="0"/>
            <w:vAlign w:val="center"/>
          </w:tcPr>
          <w:p>
            <w:pPr>
              <w:adjustRightInd w:val="0"/>
              <w:snapToGrid w:val="0"/>
              <w:spacing w:line="300" w:lineRule="auto"/>
              <w:jc w:val="center"/>
              <w:rPr>
                <w:b/>
                <w:szCs w:val="22"/>
              </w:rPr>
            </w:pPr>
            <w:r>
              <w:rPr>
                <w:b/>
                <w:szCs w:val="22"/>
              </w:rPr>
              <w:t>供应商</w:t>
            </w:r>
          </w:p>
        </w:tc>
        <w:tc>
          <w:tcPr>
            <w:tcW w:w="7230" w:type="dxa"/>
            <w:noWrap w:val="0"/>
            <w:vAlign w:val="center"/>
          </w:tcPr>
          <w:p>
            <w:pPr>
              <w:adjustRightInd w:val="0"/>
              <w:snapToGrid w:val="0"/>
              <w:spacing w:line="300" w:lineRule="auto"/>
              <w:rPr>
                <w:szCs w:val="22"/>
              </w:rPr>
            </w:pPr>
            <w:r>
              <w:rPr>
                <w:szCs w:val="22"/>
              </w:rPr>
              <w:t>门户网站、产品展厅、日常沟通（电话/邮件/传真）、供应商大会、现场考察、企业参观、高层拜访等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adjustRightInd w:val="0"/>
              <w:snapToGrid w:val="0"/>
              <w:spacing w:line="300" w:lineRule="auto"/>
              <w:jc w:val="center"/>
              <w:rPr>
                <w:b/>
                <w:szCs w:val="22"/>
              </w:rPr>
            </w:pPr>
            <w:r>
              <w:rPr>
                <w:b/>
                <w:szCs w:val="22"/>
              </w:rPr>
              <w:t>政府</w:t>
            </w:r>
          </w:p>
        </w:tc>
        <w:tc>
          <w:tcPr>
            <w:tcW w:w="7230" w:type="dxa"/>
            <w:noWrap w:val="0"/>
            <w:vAlign w:val="center"/>
          </w:tcPr>
          <w:p>
            <w:pPr>
              <w:adjustRightInd w:val="0"/>
              <w:snapToGrid w:val="0"/>
              <w:spacing w:line="300" w:lineRule="auto"/>
              <w:rPr>
                <w:szCs w:val="22"/>
              </w:rPr>
            </w:pPr>
            <w:r>
              <w:rPr>
                <w:szCs w:val="22"/>
              </w:rPr>
              <w:t>工作汇报、参观指导、公益活动、义工志愿者活动、慈善捐赠、企业网站、宣传册等</w:t>
            </w:r>
          </w:p>
        </w:tc>
      </w:tr>
    </w:tbl>
    <w:p>
      <w:pPr>
        <w:pStyle w:val="3"/>
        <w:numPr>
          <w:ilvl w:val="0"/>
          <w:numId w:val="0"/>
        </w:numPr>
        <w:spacing w:before="0" w:after="0" w:line="360" w:lineRule="auto"/>
        <w:ind w:firstLine="2570" w:firstLineChars="800"/>
        <w:rPr>
          <w:rFonts w:hint="eastAsia" w:ascii="宋体" w:hAnsi="宋体"/>
          <w:sz w:val="32"/>
        </w:rPr>
      </w:pPr>
      <w:r>
        <w:rPr>
          <w:rFonts w:hint="eastAsia" w:ascii="宋体" w:hAnsi="宋体"/>
          <w:sz w:val="32"/>
        </w:rPr>
        <w:br w:type="page"/>
      </w:r>
      <w:bookmarkStart w:id="12" w:name="_Toc24369"/>
      <w:r>
        <w:rPr>
          <w:rFonts w:hint="eastAsia" w:ascii="宋体" w:hAnsi="宋体"/>
          <w:sz w:val="32"/>
        </w:rPr>
        <w:t>二、社会责任绩效</w:t>
      </w:r>
      <w:bookmarkEnd w:id="12"/>
    </w:p>
    <w:p>
      <w:pPr>
        <w:pStyle w:val="3"/>
        <w:numPr>
          <w:ilvl w:val="0"/>
          <w:numId w:val="0"/>
        </w:numPr>
        <w:spacing w:before="0" w:after="0" w:line="360" w:lineRule="auto"/>
        <w:rPr>
          <w:rFonts w:ascii="宋体" w:hAnsi="宋体"/>
        </w:rPr>
      </w:pPr>
      <w:bookmarkStart w:id="13" w:name="_Toc26801"/>
      <w:r>
        <w:rPr>
          <w:rFonts w:hint="eastAsia" w:ascii="宋体" w:hAnsi="宋体"/>
        </w:rPr>
        <w:t>2.1社会责任履行情况</w:t>
      </w:r>
      <w:bookmarkEnd w:id="13"/>
    </w:p>
    <w:p>
      <w:pPr>
        <w:spacing w:line="360" w:lineRule="auto"/>
        <w:ind w:firstLine="480" w:firstLineChars="200"/>
        <w:rPr>
          <w:rFonts w:hint="eastAsia" w:ascii="宋体" w:hAnsi="宋体" w:cs="Arial"/>
          <w:bCs/>
          <w:sz w:val="24"/>
        </w:rPr>
      </w:pPr>
      <w:r>
        <w:rPr>
          <w:rFonts w:hint="eastAsia" w:ascii="宋体" w:hAnsi="宋体" w:cs="Arial"/>
          <w:bCs/>
          <w:sz w:val="24"/>
        </w:rPr>
        <w:t>公司在致力于自身发展的同时，还积极主动地履行社会责任，以更具社会责任感的组织行为增强其竞争优势，致力于成为卓越的企业公民。</w:t>
      </w:r>
    </w:p>
    <w:p>
      <w:pPr>
        <w:spacing w:line="360" w:lineRule="auto"/>
        <w:rPr>
          <w:rFonts w:ascii="宋体" w:hAnsi="宋体" w:cs="Arial"/>
          <w:bCs/>
          <w:sz w:val="24"/>
        </w:rPr>
      </w:pPr>
      <w:r>
        <w:rPr>
          <w:rFonts w:ascii="宋体" w:hAnsi="宋体" w:cs="Arial"/>
          <w:bCs/>
          <w:sz w:val="24"/>
        </w:rPr>
        <w:t></w:t>
      </w:r>
      <w:r>
        <w:rPr>
          <w:rFonts w:ascii="宋体" w:hAnsi="宋体" w:cs="Arial"/>
          <w:bCs/>
          <w:sz w:val="24"/>
        </w:rPr>
        <w:tab/>
      </w:r>
      <w:r>
        <w:rPr>
          <w:rFonts w:hint="eastAsia" w:ascii="宋体" w:hAnsi="宋体" w:cs="Arial"/>
          <w:bCs/>
          <w:sz w:val="24"/>
        </w:rPr>
        <w:t>在公共责任方面，与时俱进，不断创新，把绿色环保、节能降耗、安全生产作为重点进行持续改进、不断优化，取得了一次又一次阶段性的成果，导入并通过了</w:t>
      </w:r>
      <w:r>
        <w:rPr>
          <w:rFonts w:ascii="宋体" w:hAnsi="宋体" w:cs="Arial"/>
          <w:bCs/>
          <w:sz w:val="24"/>
        </w:rPr>
        <w:t>ISO14001</w:t>
      </w:r>
      <w:r>
        <w:rPr>
          <w:rFonts w:hint="eastAsia" w:ascii="宋体" w:hAnsi="宋体" w:cs="Arial"/>
          <w:bCs/>
          <w:sz w:val="24"/>
        </w:rPr>
        <w:t>环境体系、</w:t>
      </w:r>
      <w:r>
        <w:rPr>
          <w:rFonts w:ascii="宋体" w:hAnsi="宋体" w:cs="Arial"/>
          <w:bCs/>
          <w:sz w:val="24"/>
        </w:rPr>
        <w:t>ISO45001</w:t>
      </w:r>
      <w:r>
        <w:rPr>
          <w:rFonts w:hint="eastAsia" w:ascii="宋体" w:hAnsi="宋体" w:cs="Arial"/>
          <w:bCs/>
          <w:sz w:val="24"/>
        </w:rPr>
        <w:t>：</w:t>
      </w:r>
      <w:r>
        <w:rPr>
          <w:rFonts w:ascii="宋体" w:hAnsi="宋体" w:cs="Arial"/>
          <w:bCs/>
          <w:sz w:val="24"/>
        </w:rPr>
        <w:t xml:space="preserve">2018 </w:t>
      </w:r>
      <w:r>
        <w:rPr>
          <w:rFonts w:hint="eastAsia" w:ascii="宋体" w:hAnsi="宋体" w:cs="Arial"/>
          <w:bCs/>
          <w:sz w:val="24"/>
        </w:rPr>
        <w:t>职业健康与安全管理体系认证。</w:t>
      </w:r>
    </w:p>
    <w:p>
      <w:pPr>
        <w:spacing w:line="360" w:lineRule="auto"/>
        <w:rPr>
          <w:rFonts w:ascii="宋体" w:hAnsi="宋体" w:cs="Arial"/>
          <w:bCs/>
          <w:sz w:val="24"/>
        </w:rPr>
      </w:pPr>
      <w:r>
        <w:rPr>
          <w:rFonts w:ascii="宋体" w:hAnsi="宋体" w:cs="Arial"/>
          <w:bCs/>
          <w:sz w:val="24"/>
        </w:rPr>
        <w:t></w:t>
      </w:r>
      <w:r>
        <w:rPr>
          <w:rFonts w:ascii="宋体" w:hAnsi="宋体" w:cs="Arial"/>
          <w:bCs/>
          <w:sz w:val="24"/>
        </w:rPr>
        <w:tab/>
      </w:r>
      <w:r>
        <w:rPr>
          <w:rFonts w:hint="eastAsia" w:ascii="宋体" w:hAnsi="宋体" w:cs="Arial"/>
          <w:bCs/>
          <w:sz w:val="24"/>
        </w:rPr>
        <w:t>在道德行为方面，遵守社会公德和商业道德规范，与相关方建立良好的关系。</w:t>
      </w:r>
    </w:p>
    <w:p>
      <w:pPr>
        <w:spacing w:line="360" w:lineRule="auto"/>
        <w:rPr>
          <w:rFonts w:hint="eastAsia" w:ascii="宋体" w:hAnsi="宋体" w:cs="Arial"/>
          <w:bCs/>
          <w:sz w:val="24"/>
        </w:rPr>
      </w:pPr>
      <w:r>
        <w:rPr>
          <w:rFonts w:ascii="宋体" w:hAnsi="宋体" w:cs="Arial"/>
          <w:bCs/>
          <w:sz w:val="24"/>
        </w:rPr>
        <w:t></w:t>
      </w:r>
      <w:r>
        <w:rPr>
          <w:rFonts w:ascii="宋体" w:hAnsi="宋体" w:cs="Arial"/>
          <w:bCs/>
          <w:sz w:val="24"/>
        </w:rPr>
        <w:tab/>
      </w:r>
      <w:r>
        <w:rPr>
          <w:rFonts w:hint="eastAsia" w:ascii="宋体" w:hAnsi="宋体" w:cs="Arial"/>
          <w:bCs/>
          <w:sz w:val="24"/>
        </w:rPr>
        <w:t>在公益支持方面，把“慈善、教育和社会建设”等作为重点支持领域，同时高层领导积极带头，普通员工热烈响应，以实际行动积极参与社会各项公益事业。</w:t>
      </w:r>
    </w:p>
    <w:p>
      <w:pPr>
        <w:widowControl/>
        <w:spacing w:line="360" w:lineRule="auto"/>
        <w:ind w:firstLine="480" w:firstLineChars="200"/>
        <w:jc w:val="left"/>
        <w:rPr>
          <w:rFonts w:ascii="宋体" w:hAnsi="宋体"/>
          <w:sz w:val="24"/>
        </w:rPr>
      </w:pPr>
    </w:p>
    <w:p>
      <w:pPr>
        <w:spacing w:line="360" w:lineRule="auto"/>
        <w:rPr>
          <w:rFonts w:hint="eastAsia" w:ascii="宋体" w:hAnsi="宋体" w:cs="Arial"/>
          <w:bCs/>
          <w:sz w:val="24"/>
        </w:rPr>
      </w:pPr>
    </w:p>
    <w:p>
      <w:pPr>
        <w:pStyle w:val="3"/>
        <w:numPr>
          <w:ilvl w:val="0"/>
          <w:numId w:val="0"/>
        </w:numPr>
        <w:spacing w:before="0" w:after="0" w:line="360" w:lineRule="auto"/>
        <w:rPr>
          <w:rFonts w:ascii="宋体" w:hAnsi="宋体"/>
        </w:rPr>
      </w:pPr>
      <w:bookmarkStart w:id="14" w:name="_Toc6284"/>
      <w:r>
        <w:rPr>
          <w:rFonts w:hint="eastAsia" w:ascii="宋体" w:hAnsi="宋体"/>
        </w:rPr>
        <w:t>2.2股东及其他相关方利益保护</w:t>
      </w:r>
      <w:bookmarkEnd w:id="14"/>
    </w:p>
    <w:p>
      <w:pPr>
        <w:spacing w:line="360" w:lineRule="auto"/>
        <w:jc w:val="center"/>
        <w:rPr>
          <w:rFonts w:hint="eastAsia" w:ascii="宋体" w:hAnsi="宋体"/>
          <w:b/>
          <w:sz w:val="24"/>
        </w:rPr>
      </w:pPr>
    </w:p>
    <w:p>
      <w:pPr>
        <w:spacing w:line="360" w:lineRule="auto"/>
        <w:jc w:val="center"/>
        <w:rPr>
          <w:rFonts w:hint="eastAsia" w:ascii="宋体" w:hAnsi="宋体"/>
          <w:b/>
          <w:sz w:val="24"/>
        </w:rPr>
      </w:pPr>
      <w:r>
        <w:rPr>
          <w:rFonts w:hint="eastAsia" w:ascii="宋体" w:hAnsi="宋体"/>
          <w:b/>
          <w:sz w:val="24"/>
        </w:rPr>
        <w:t>图表-3</w:t>
      </w:r>
      <w:r>
        <w:rPr>
          <w:rFonts w:ascii="宋体" w:hAnsi="宋体"/>
          <w:b/>
          <w:sz w:val="24"/>
        </w:rPr>
        <w:t xml:space="preserve">  股东及其他</w:t>
      </w:r>
      <w:r>
        <w:rPr>
          <w:rFonts w:hint="eastAsia" w:ascii="宋体" w:hAnsi="宋体"/>
          <w:b/>
          <w:sz w:val="24"/>
        </w:rPr>
        <w:t>相关方利益保护</w:t>
      </w:r>
    </w:p>
    <w:tbl>
      <w:tblPr>
        <w:tblStyle w:val="18"/>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90" w:type="dxa"/>
            <w:tcBorders>
              <w:bottom w:val="single" w:color="auto" w:sz="4" w:space="0"/>
            </w:tcBorders>
            <w:shd w:val="clear" w:color="auto" w:fill="FBE4D5"/>
            <w:noWrap w:val="0"/>
            <w:vAlign w:val="center"/>
          </w:tcPr>
          <w:p>
            <w:pPr>
              <w:jc w:val="center"/>
              <w:rPr>
                <w:rFonts w:hint="eastAsia" w:ascii="宋体" w:hAnsi="宋体"/>
                <w:b/>
                <w:kern w:val="0"/>
                <w:szCs w:val="21"/>
              </w:rPr>
            </w:pPr>
            <w:r>
              <w:rPr>
                <w:rFonts w:hint="eastAsia" w:ascii="宋体" w:hAnsi="宋体"/>
                <w:b/>
                <w:kern w:val="0"/>
                <w:szCs w:val="21"/>
              </w:rPr>
              <w:t>利益方</w:t>
            </w:r>
          </w:p>
        </w:tc>
        <w:tc>
          <w:tcPr>
            <w:tcW w:w="6957" w:type="dxa"/>
            <w:shd w:val="clear" w:color="auto" w:fill="FBE4D5"/>
            <w:noWrap w:val="0"/>
            <w:vAlign w:val="center"/>
          </w:tcPr>
          <w:p>
            <w:pPr>
              <w:jc w:val="center"/>
              <w:rPr>
                <w:rFonts w:hint="eastAsia" w:ascii="宋体" w:hAnsi="宋体"/>
                <w:b/>
                <w:kern w:val="0"/>
                <w:szCs w:val="21"/>
              </w:rPr>
            </w:pPr>
            <w:r>
              <w:rPr>
                <w:rFonts w:hint="eastAsia" w:ascii="宋体" w:hAnsi="宋体"/>
                <w:b/>
                <w:kern w:val="0"/>
                <w:szCs w:val="21"/>
              </w:rPr>
              <w:t>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jc w:val="center"/>
              <w:rPr>
                <w:rFonts w:hint="eastAsia" w:ascii="宋体" w:hAnsi="宋体"/>
                <w:kern w:val="0"/>
                <w:szCs w:val="21"/>
              </w:rPr>
            </w:pPr>
            <w:r>
              <w:rPr>
                <w:rFonts w:hint="eastAsia" w:ascii="宋体" w:hAnsi="宋体"/>
                <w:kern w:val="0"/>
                <w:szCs w:val="21"/>
              </w:rPr>
              <w:t>股东利益</w:t>
            </w:r>
          </w:p>
        </w:tc>
        <w:tc>
          <w:tcPr>
            <w:tcW w:w="6957" w:type="dxa"/>
            <w:noWrap w:val="0"/>
            <w:vAlign w:val="top"/>
          </w:tcPr>
          <w:p>
            <w:pPr>
              <w:rPr>
                <w:rFonts w:hint="eastAsia" w:ascii="宋体" w:hAnsi="宋体"/>
                <w:kern w:val="0"/>
                <w:szCs w:val="21"/>
                <w:highlight w:val="yellow"/>
              </w:rPr>
            </w:pPr>
            <w:r>
              <w:rPr>
                <w:rFonts w:hint="eastAsia" w:ascii="宋体" w:hAnsi="宋体"/>
                <w:kern w:val="0"/>
                <w:szCs w:val="21"/>
              </w:rPr>
              <w:t>公司每年进行</w:t>
            </w:r>
            <w:r>
              <w:rPr>
                <w:rFonts w:ascii="宋体" w:hAnsi="宋体"/>
                <w:kern w:val="0"/>
                <w:szCs w:val="21"/>
              </w:rPr>
              <w:t>股份分</w:t>
            </w:r>
            <w:r>
              <w:rPr>
                <w:rFonts w:hint="eastAsia" w:ascii="宋体" w:hAnsi="宋体"/>
                <w:kern w:val="0"/>
                <w:szCs w:val="21"/>
              </w:rPr>
              <w:t>红</w:t>
            </w:r>
            <w:r>
              <w:rPr>
                <w:rFonts w:ascii="宋体" w:hAnsi="宋体"/>
                <w:kern w:val="0"/>
                <w:szCs w:val="21"/>
              </w:rPr>
              <w:t>，确保股东利益得到保障。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bottom w:val="single" w:color="auto" w:sz="4" w:space="0"/>
            </w:tcBorders>
            <w:shd w:val="clear" w:color="auto" w:fill="FFFFFF"/>
            <w:noWrap w:val="0"/>
            <w:vAlign w:val="center"/>
          </w:tcPr>
          <w:p>
            <w:pPr>
              <w:jc w:val="center"/>
              <w:rPr>
                <w:rFonts w:hint="eastAsia" w:ascii="宋体" w:hAnsi="宋体"/>
                <w:kern w:val="0"/>
                <w:szCs w:val="21"/>
              </w:rPr>
            </w:pPr>
            <w:r>
              <w:rPr>
                <w:rFonts w:hint="eastAsia" w:ascii="宋体" w:hAnsi="宋体"/>
                <w:kern w:val="0"/>
                <w:szCs w:val="21"/>
              </w:rPr>
              <w:t>员工利益</w:t>
            </w:r>
          </w:p>
        </w:tc>
        <w:tc>
          <w:tcPr>
            <w:tcW w:w="6957" w:type="dxa"/>
            <w:noWrap w:val="0"/>
            <w:vAlign w:val="center"/>
          </w:tcPr>
          <w:p>
            <w:pPr>
              <w:jc w:val="left"/>
              <w:rPr>
                <w:rFonts w:hint="eastAsia" w:ascii="宋体" w:hAnsi="宋体"/>
                <w:kern w:val="0"/>
                <w:szCs w:val="21"/>
              </w:rPr>
            </w:pPr>
            <w:r>
              <w:rPr>
                <w:rFonts w:hint="eastAsia" w:ascii="宋体" w:hAnsi="宋体"/>
                <w:kern w:val="0"/>
                <w:szCs w:val="21"/>
              </w:rPr>
              <w:t>实行全员劳动合同制管理，按时发放员工薪水，为员工缴纳三险； 通过生产线自动化改造改善员工的工作环境，降低员工劳动强度； 依照社会水平每年进行调薪。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jc w:val="center"/>
              <w:rPr>
                <w:rFonts w:hint="eastAsia" w:ascii="宋体" w:hAnsi="宋体"/>
                <w:kern w:val="0"/>
                <w:szCs w:val="21"/>
              </w:rPr>
            </w:pPr>
            <w:r>
              <w:rPr>
                <w:rFonts w:hint="eastAsia" w:ascii="宋体" w:hAnsi="宋体"/>
                <w:kern w:val="0"/>
                <w:szCs w:val="21"/>
              </w:rPr>
              <w:t>供应商利益</w:t>
            </w:r>
          </w:p>
        </w:tc>
        <w:tc>
          <w:tcPr>
            <w:tcW w:w="6957" w:type="dxa"/>
            <w:noWrap w:val="0"/>
            <w:vAlign w:val="top"/>
          </w:tcPr>
          <w:p>
            <w:pPr>
              <w:rPr>
                <w:rFonts w:hint="eastAsia" w:ascii="宋体" w:hAnsi="宋体"/>
                <w:kern w:val="0"/>
                <w:szCs w:val="21"/>
              </w:rPr>
            </w:pPr>
            <w:r>
              <w:rPr>
                <w:rFonts w:hint="eastAsia" w:ascii="宋体" w:hAnsi="宋体"/>
                <w:kern w:val="0"/>
                <w:szCs w:val="21"/>
              </w:rPr>
              <w:t>根据供应商管理制度，对供应商进行公正评估；严格按</w:t>
            </w:r>
            <w:r>
              <w:rPr>
                <w:rFonts w:hint="eastAsia" w:ascii="宋体" w:hAnsi="宋体"/>
                <w:kern w:val="0"/>
                <w:szCs w:val="21"/>
                <w:lang w:eastAsia="zh-CN"/>
              </w:rPr>
              <w:t>约定</w:t>
            </w:r>
            <w:r>
              <w:rPr>
                <w:rFonts w:hint="eastAsia" w:ascii="宋体" w:hAnsi="宋体"/>
                <w:kern w:val="0"/>
                <w:szCs w:val="21"/>
              </w:rPr>
              <w:t>时间付款，从不拖欠或压款； 帮助供应商进行整改，提升供应能力和质量管理水平；通过反腐措施，对采购进行监控，维护供应商利益。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jc w:val="center"/>
              <w:rPr>
                <w:rFonts w:hint="eastAsia" w:ascii="宋体" w:hAnsi="宋体"/>
                <w:kern w:val="0"/>
                <w:szCs w:val="21"/>
              </w:rPr>
            </w:pPr>
            <w:r>
              <w:rPr>
                <w:rFonts w:hint="eastAsia" w:ascii="宋体" w:hAnsi="宋体"/>
                <w:kern w:val="0"/>
                <w:szCs w:val="21"/>
              </w:rPr>
              <w:t>顾客利益</w:t>
            </w:r>
          </w:p>
        </w:tc>
        <w:tc>
          <w:tcPr>
            <w:tcW w:w="6957" w:type="dxa"/>
            <w:noWrap w:val="0"/>
            <w:vAlign w:val="top"/>
          </w:tcPr>
          <w:p>
            <w:pPr>
              <w:rPr>
                <w:rFonts w:hint="eastAsia" w:ascii="宋体" w:hAnsi="宋体"/>
                <w:kern w:val="0"/>
                <w:szCs w:val="21"/>
              </w:rPr>
            </w:pPr>
            <w:r>
              <w:rPr>
                <w:rFonts w:hint="eastAsia" w:ascii="宋体" w:hAnsi="宋体"/>
                <w:kern w:val="0"/>
                <w:szCs w:val="21"/>
              </w:rPr>
              <w:t>通过ISO9001质量体系对产品质量进行严格把关，确保顾客利益不受损害，协助客户维护市场维护顾客利益。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ind w:left="315" w:hanging="315" w:hangingChars="150"/>
              <w:jc w:val="center"/>
              <w:rPr>
                <w:rFonts w:hint="eastAsia" w:ascii="宋体" w:hAnsi="宋体"/>
                <w:kern w:val="0"/>
                <w:szCs w:val="21"/>
              </w:rPr>
            </w:pPr>
            <w:r>
              <w:rPr>
                <w:rFonts w:hint="eastAsia" w:ascii="宋体" w:hAnsi="宋体"/>
                <w:kern w:val="0"/>
                <w:szCs w:val="21"/>
              </w:rPr>
              <w:t>其它相关方利益</w:t>
            </w:r>
          </w:p>
        </w:tc>
        <w:tc>
          <w:tcPr>
            <w:tcW w:w="6957" w:type="dxa"/>
            <w:noWrap w:val="0"/>
            <w:vAlign w:val="top"/>
          </w:tcPr>
          <w:p>
            <w:pPr>
              <w:rPr>
                <w:rFonts w:hint="eastAsia" w:ascii="宋体" w:hAnsi="宋体"/>
                <w:kern w:val="0"/>
                <w:szCs w:val="21"/>
              </w:rPr>
            </w:pPr>
            <w:r>
              <w:rPr>
                <w:rFonts w:hint="eastAsia" w:ascii="宋体" w:hAnsi="宋体"/>
                <w:kern w:val="0"/>
                <w:szCs w:val="21"/>
              </w:rPr>
              <w:t>公司通过依法纳税、节能降耗、公益支持等活动，维护其它相关方的利益。</w:t>
            </w:r>
          </w:p>
        </w:tc>
      </w:tr>
    </w:tbl>
    <w:p>
      <w:pPr>
        <w:pStyle w:val="15"/>
        <w:shd w:val="clear" w:color="auto" w:fill="FFFFFF"/>
        <w:spacing w:before="0" w:beforeAutospacing="0" w:after="0" w:afterAutospacing="0" w:line="360" w:lineRule="auto"/>
        <w:textAlignment w:val="baseline"/>
        <w:rPr>
          <w:rFonts w:cs="Arial"/>
          <w:bCs/>
          <w:kern w:val="2"/>
        </w:rPr>
      </w:pPr>
      <w:r>
        <w:rPr>
          <w:rFonts w:hint="eastAsia" w:cs="Arial"/>
          <w:bCs/>
          <w:kern w:val="2"/>
        </w:rPr>
        <w:t>1）、公司治理科学规范</w:t>
      </w:r>
    </w:p>
    <w:p>
      <w:pPr>
        <w:pStyle w:val="15"/>
        <w:shd w:val="clear" w:color="auto" w:fill="FFFFFF"/>
        <w:spacing w:before="0" w:beforeAutospacing="0" w:after="0" w:afterAutospacing="0" w:line="360" w:lineRule="auto"/>
        <w:ind w:firstLine="480" w:firstLineChars="200"/>
        <w:textAlignment w:val="baseline"/>
        <w:rPr>
          <w:rFonts w:hint="eastAsia" w:cs="Arial"/>
          <w:bCs/>
          <w:kern w:val="2"/>
        </w:rPr>
      </w:pPr>
      <w:r>
        <w:rPr>
          <w:rFonts w:hint="eastAsia" w:cs="Arial"/>
          <w:bCs/>
          <w:kern w:val="2"/>
        </w:rPr>
        <w:t>公司根据《公司法》等有关法律法规和公司《章程》，建立规范的公司治理结构和议事规则，明确决策、执行、监督等方面的职责权限，形成了科学有效的职责分工和制衡机制。公司董事会任命总经理，代表公司负责企业管理各项工作，完成董事会下达的指标和任务。</w:t>
      </w:r>
    </w:p>
    <w:p>
      <w:pPr>
        <w:pStyle w:val="15"/>
        <w:shd w:val="clear" w:color="auto" w:fill="FFFFFF"/>
        <w:spacing w:before="0" w:beforeAutospacing="0" w:after="0" w:afterAutospacing="0" w:line="360" w:lineRule="auto"/>
        <w:textAlignment w:val="baseline"/>
        <w:rPr>
          <w:rFonts w:cs="Arial"/>
          <w:bCs/>
          <w:kern w:val="2"/>
        </w:rPr>
      </w:pPr>
      <w:r>
        <w:rPr>
          <w:rFonts w:hint="eastAsia" w:cs="Arial"/>
          <w:bCs/>
          <w:kern w:val="2"/>
        </w:rPr>
        <w:t>2）、股东沟通</w:t>
      </w:r>
    </w:p>
    <w:p>
      <w:pPr>
        <w:pStyle w:val="15"/>
        <w:shd w:val="clear" w:color="auto" w:fill="FFFFFF"/>
        <w:spacing w:before="0" w:beforeAutospacing="0" w:after="0" w:afterAutospacing="0" w:line="360" w:lineRule="auto"/>
        <w:ind w:firstLine="480" w:firstLineChars="200"/>
        <w:textAlignment w:val="baseline"/>
        <w:rPr>
          <w:rFonts w:cs="Arial"/>
          <w:bCs/>
          <w:kern w:val="2"/>
        </w:rPr>
      </w:pPr>
      <w:r>
        <w:rPr>
          <w:rFonts w:hint="eastAsia" w:cs="Arial"/>
          <w:bCs/>
          <w:kern w:val="2"/>
        </w:rPr>
        <w:t>公司遵循“公平、公正、公开”的原则，通过会议、电话等措施，保证沟通渠道顺畅，方便投资者和公司沟通、互动。</w:t>
      </w:r>
    </w:p>
    <w:p>
      <w:pPr>
        <w:pStyle w:val="15"/>
        <w:shd w:val="clear" w:color="auto" w:fill="FFFFFF"/>
        <w:spacing w:before="0" w:beforeAutospacing="0" w:after="0" w:afterAutospacing="0" w:line="360" w:lineRule="auto"/>
        <w:textAlignment w:val="baseline"/>
        <w:rPr>
          <w:rFonts w:cs="Arial"/>
          <w:bCs/>
          <w:kern w:val="2"/>
        </w:rPr>
      </w:pPr>
      <w:r>
        <w:rPr>
          <w:rFonts w:hint="eastAsia" w:cs="Arial"/>
          <w:bCs/>
          <w:kern w:val="2"/>
        </w:rPr>
        <w:t>3）、创造价值，回报股东</w:t>
      </w:r>
    </w:p>
    <w:p>
      <w:pPr>
        <w:pStyle w:val="15"/>
        <w:shd w:val="clear" w:color="auto" w:fill="FFFFFF"/>
        <w:spacing w:before="0" w:beforeAutospacing="0" w:after="0" w:afterAutospacing="0" w:line="360" w:lineRule="auto"/>
        <w:ind w:firstLine="480" w:firstLineChars="200"/>
        <w:textAlignment w:val="baseline"/>
        <w:rPr>
          <w:rFonts w:cs="Arial"/>
          <w:bCs/>
          <w:kern w:val="2"/>
        </w:rPr>
      </w:pPr>
      <w:r>
        <w:rPr>
          <w:rFonts w:hint="eastAsia" w:cs="Arial"/>
          <w:bCs/>
          <w:kern w:val="2"/>
        </w:rPr>
        <w:t>公司发展战略清晰，主业聚焦，经营稳健扩张。公司《章程》对现金分红及股利分配的条件、分配比例、决策机制等事项进行了明确，积极保障股东权益。在保证对主业发展足够投入的前提下，结合公司业绩，积极实施利润分配方案。</w:t>
      </w:r>
    </w:p>
    <w:p>
      <w:pPr>
        <w:pStyle w:val="3"/>
        <w:numPr>
          <w:ilvl w:val="0"/>
          <w:numId w:val="0"/>
        </w:numPr>
        <w:spacing w:before="0" w:after="0" w:line="360" w:lineRule="auto"/>
        <w:rPr>
          <w:rFonts w:ascii="宋体" w:hAnsi="宋体"/>
        </w:rPr>
      </w:pPr>
      <w:bookmarkStart w:id="15" w:name="_Toc29847"/>
      <w:r>
        <w:rPr>
          <w:rFonts w:hint="eastAsia" w:ascii="宋体" w:hAnsi="宋体"/>
        </w:rPr>
        <w:t>2.3员工权益保护</w:t>
      </w:r>
      <w:bookmarkEnd w:id="15"/>
    </w:p>
    <w:p>
      <w:pPr>
        <w:pStyle w:val="47"/>
        <w:spacing w:line="360" w:lineRule="auto"/>
        <w:ind w:firstLine="480" w:firstLineChars="200"/>
        <w:rPr>
          <w:rFonts w:ascii="宋体" w:hAnsi="宋体"/>
          <w:b/>
          <w:sz w:val="24"/>
          <w:szCs w:val="24"/>
        </w:rPr>
      </w:pPr>
      <w:r>
        <w:rPr>
          <w:rFonts w:hint="eastAsia" w:cs="Arial"/>
          <w:bCs/>
          <w:sz w:val="24"/>
          <w:szCs w:val="24"/>
        </w:rPr>
        <w:t>公司尊重员工价值创造，为员工创造良好的工作平台和发展环境的同时，积极推行平台引才、借智发展政策，科学系统地形成了一整套规范、灵活、切合公司实际的用人机制，充分调动凝聚士气，共谋发展。</w:t>
      </w:r>
    </w:p>
    <w:p>
      <w:pPr>
        <w:pStyle w:val="15"/>
        <w:shd w:val="clear" w:color="auto" w:fill="FFFFFF"/>
        <w:spacing w:before="0" w:beforeAutospacing="0" w:after="0" w:afterAutospacing="0" w:line="360" w:lineRule="auto"/>
        <w:ind w:firstLine="480" w:firstLineChars="200"/>
        <w:textAlignment w:val="baseline"/>
        <w:rPr>
          <w:rFonts w:hint="eastAsia" w:cs="Arial"/>
          <w:bCs/>
          <w:kern w:val="2"/>
        </w:rPr>
      </w:pPr>
      <w:r>
        <w:rPr>
          <w:rFonts w:hint="eastAsia" w:cs="Arial"/>
          <w:bCs/>
          <w:kern w:val="2"/>
        </w:rPr>
        <w:t>公司严格遵守《劳动合同法》，保障员工的合法权益。建立了包括薪酬体系、激励机制、社会保险等薪酬和福利制度，保护员工合法权益；建立了完善的劳动保护制度，根据岗位特征为员工配发工装及必要的劳动保护用品；根据区域特征、物价指数等实际情况为员工增加薪酬，并为员工提供良好的工作环境。</w:t>
      </w:r>
    </w:p>
    <w:p>
      <w:pPr>
        <w:pStyle w:val="47"/>
        <w:spacing w:line="360" w:lineRule="auto"/>
        <w:rPr>
          <w:rFonts w:hint="eastAsia" w:ascii="宋体" w:hAnsi="宋体"/>
          <w:b/>
          <w:sz w:val="24"/>
          <w:szCs w:val="24"/>
        </w:rPr>
      </w:pPr>
      <w:r>
        <w:rPr>
          <w:rFonts w:hint="eastAsia" w:ascii="宋体" w:hAnsi="宋体"/>
          <w:b/>
          <w:sz w:val="24"/>
          <w:szCs w:val="24"/>
        </w:rPr>
        <w:t>2.3.1、</w:t>
      </w:r>
      <w:r>
        <w:rPr>
          <w:rFonts w:ascii="宋体" w:hAnsi="宋体"/>
          <w:b/>
          <w:sz w:val="24"/>
          <w:szCs w:val="24"/>
        </w:rPr>
        <w:t>薪资福利</w:t>
      </w:r>
    </w:p>
    <w:p>
      <w:pPr>
        <w:spacing w:line="360" w:lineRule="auto"/>
        <w:ind w:firstLine="480" w:firstLineChars="200"/>
        <w:rPr>
          <w:rFonts w:hint="eastAsia" w:ascii="宋体" w:hAnsi="宋体" w:cs="Arial"/>
          <w:bCs/>
          <w:sz w:val="24"/>
        </w:rPr>
      </w:pPr>
      <w:r>
        <w:rPr>
          <w:rFonts w:hint="eastAsia" w:ascii="宋体" w:hAnsi="宋体" w:cs="Arial"/>
          <w:bCs/>
          <w:sz w:val="24"/>
        </w:rPr>
        <w:t>公司会根据岗位职能不同确定职级和薪资数；在职员工根据公司薪酬制度，考虑经营业绩和个人业绩，结合薪资市场竞争力，制定当年的薪资政策来调整职级和薪资数。除员工的月标准薪资外，公司会根据经营业绩、个人绩效、贡献价值等因素发放额外的奖金奖励。</w:t>
      </w:r>
    </w:p>
    <w:p>
      <w:pPr>
        <w:spacing w:line="360" w:lineRule="auto"/>
        <w:ind w:firstLine="480" w:firstLineChars="200"/>
        <w:rPr>
          <w:rFonts w:hint="eastAsia" w:hAnsi="宋体"/>
          <w:sz w:val="24"/>
          <w:szCs w:val="21"/>
        </w:rPr>
      </w:pPr>
      <w:r>
        <w:rPr>
          <w:rFonts w:hint="eastAsia" w:ascii="宋体" w:hAnsi="宋体" w:cs="Arial"/>
          <w:bCs/>
          <w:sz w:val="24"/>
        </w:rPr>
        <w:t>公司福利制度包括单休、五险、年终奖、技术（岗位）津贴、高温补贴、工伤慰问、各类节日福利等及满勤奖、突出贡献奖等激励措施。</w:t>
      </w:r>
    </w:p>
    <w:p>
      <w:pPr>
        <w:pStyle w:val="47"/>
        <w:spacing w:line="360" w:lineRule="auto"/>
        <w:rPr>
          <w:rFonts w:hint="eastAsia" w:ascii="宋体" w:hAnsi="宋体"/>
          <w:b/>
          <w:sz w:val="24"/>
          <w:szCs w:val="24"/>
        </w:rPr>
      </w:pPr>
      <w:r>
        <w:rPr>
          <w:rFonts w:hint="eastAsia" w:ascii="宋体" w:hAnsi="宋体"/>
          <w:b/>
          <w:sz w:val="24"/>
          <w:szCs w:val="24"/>
        </w:rPr>
        <w:t>2.3.2员工的学习和发展</w:t>
      </w:r>
    </w:p>
    <w:p>
      <w:pPr>
        <w:pStyle w:val="47"/>
        <w:spacing w:line="360" w:lineRule="auto"/>
        <w:rPr>
          <w:rFonts w:hint="eastAsia" w:ascii="宋体" w:hAnsi="宋体"/>
          <w:b/>
          <w:sz w:val="24"/>
          <w:szCs w:val="24"/>
        </w:rPr>
      </w:pPr>
      <w:r>
        <w:rPr>
          <w:rFonts w:hint="eastAsia" w:ascii="宋体" w:hAnsi="宋体"/>
          <w:b/>
          <w:sz w:val="24"/>
          <w:szCs w:val="24"/>
        </w:rPr>
        <w:t>2.3.2.1员工学习</w:t>
      </w:r>
    </w:p>
    <w:p>
      <w:pPr>
        <w:spacing w:line="360" w:lineRule="auto"/>
        <w:ind w:firstLine="480" w:firstLineChars="200"/>
        <w:rPr>
          <w:rFonts w:hint="eastAsia" w:ascii="宋体" w:hAnsi="宋体"/>
          <w:sz w:val="24"/>
        </w:rPr>
      </w:pPr>
      <w:r>
        <w:rPr>
          <w:rFonts w:hint="eastAsia" w:ascii="宋体" w:hAnsi="宋体"/>
          <w:sz w:val="24"/>
        </w:rPr>
        <w:t>为了实现公司战略和战略目标，提高员工的工作能力，增强组织和个人的应变和适应能力，提高员工对公司企业文化的认同感和归属感，在内部营造一个积极的学习氛围，公司每年会根据各个部门的实际需求编制《</w:t>
      </w:r>
      <w:r>
        <w:rPr>
          <w:rFonts w:hint="eastAsia" w:ascii="宋体" w:hAnsi="宋体"/>
          <w:sz w:val="24"/>
          <w:lang w:eastAsia="zh-CN"/>
        </w:rPr>
        <w:t>2023</w:t>
      </w:r>
      <w:r>
        <w:rPr>
          <w:rFonts w:hint="eastAsia" w:ascii="宋体" w:hAnsi="宋体"/>
          <w:sz w:val="24"/>
        </w:rPr>
        <w:t>年度培训计划表》，并在实际实施过程中予以补充完善，具体从以下四个方面阐述：</w:t>
      </w:r>
    </w:p>
    <w:p>
      <w:pPr>
        <w:numPr>
          <w:ilvl w:val="0"/>
          <w:numId w:val="4"/>
        </w:numPr>
        <w:spacing w:line="360" w:lineRule="auto"/>
        <w:rPr>
          <w:rFonts w:hint="eastAsia" w:ascii="宋体" w:hAnsi="宋体"/>
          <w:b/>
          <w:sz w:val="24"/>
        </w:rPr>
      </w:pPr>
      <w:r>
        <w:rPr>
          <w:rFonts w:hint="eastAsia" w:ascii="宋体" w:hAnsi="宋体"/>
          <w:b/>
          <w:sz w:val="24"/>
        </w:rPr>
        <w:t>培训需求分析</w:t>
      </w:r>
    </w:p>
    <w:p>
      <w:pPr>
        <w:spacing w:line="360" w:lineRule="auto"/>
        <w:ind w:firstLine="480" w:firstLineChars="200"/>
        <w:rPr>
          <w:rFonts w:hint="eastAsia" w:ascii="宋体" w:hAnsi="宋体"/>
          <w:sz w:val="24"/>
        </w:rPr>
      </w:pPr>
      <w:r>
        <w:rPr>
          <w:rFonts w:hint="eastAsia" w:ascii="宋体" w:hAnsi="宋体"/>
          <w:sz w:val="24"/>
        </w:rPr>
        <w:t>办公室每年12月份启动下一年度培训计划需求调查工作，通过问卷、面谈等方式搜集公司层面、部门层面及员工个人层面的培训需求，然后结合公司战略发展需求、年度经营目标等进行综合评估，确定各层级、各部门的培训需求。</w:t>
      </w:r>
    </w:p>
    <w:p>
      <w:pPr>
        <w:numPr>
          <w:ilvl w:val="0"/>
          <w:numId w:val="4"/>
        </w:numPr>
        <w:spacing w:line="360" w:lineRule="auto"/>
        <w:rPr>
          <w:rFonts w:hint="eastAsia" w:ascii="宋体" w:hAnsi="宋体"/>
          <w:b/>
          <w:sz w:val="24"/>
        </w:rPr>
      </w:pPr>
      <w:r>
        <w:rPr>
          <w:rFonts w:hint="eastAsia" w:ascii="宋体" w:hAnsi="宋体"/>
          <w:b/>
          <w:sz w:val="24"/>
        </w:rPr>
        <w:t>培训计划制定</w:t>
      </w:r>
    </w:p>
    <w:p>
      <w:pPr>
        <w:spacing w:line="360" w:lineRule="auto"/>
        <w:ind w:firstLine="480" w:firstLineChars="200"/>
        <w:rPr>
          <w:rFonts w:hint="eastAsia" w:ascii="宋体" w:hAnsi="宋体"/>
          <w:sz w:val="24"/>
        </w:rPr>
      </w:pPr>
      <w:r>
        <w:rPr>
          <w:rFonts w:hint="eastAsia" w:ascii="宋体" w:hAnsi="宋体"/>
          <w:sz w:val="24"/>
        </w:rPr>
        <w:t>为了保证培训需求的有效满足，办公室会根据中、短期公司发展战略规划与《人力资源计划》，综合上述培训需求分析的结果，编制《</w:t>
      </w:r>
      <w:r>
        <w:rPr>
          <w:rFonts w:hint="eastAsia" w:ascii="宋体" w:hAnsi="宋体"/>
          <w:sz w:val="24"/>
          <w:lang w:eastAsia="zh-CN"/>
        </w:rPr>
        <w:t>2023</w:t>
      </w:r>
      <w:r>
        <w:rPr>
          <w:rFonts w:hint="eastAsia" w:ascii="宋体" w:hAnsi="宋体"/>
          <w:sz w:val="24"/>
        </w:rPr>
        <w:t>年度培训计划表》，并提交总经理审批。</w:t>
      </w:r>
    </w:p>
    <w:p>
      <w:pPr>
        <w:numPr>
          <w:ilvl w:val="0"/>
          <w:numId w:val="4"/>
        </w:numPr>
        <w:spacing w:line="360" w:lineRule="auto"/>
        <w:rPr>
          <w:rFonts w:hint="eastAsia" w:ascii="宋体" w:hAnsi="宋体"/>
          <w:b/>
          <w:sz w:val="24"/>
        </w:rPr>
      </w:pPr>
      <w:r>
        <w:rPr>
          <w:rFonts w:hint="eastAsia" w:ascii="宋体" w:hAnsi="宋体"/>
          <w:b/>
          <w:sz w:val="24"/>
        </w:rPr>
        <w:t>培训计划实施</w:t>
      </w:r>
    </w:p>
    <w:p>
      <w:pPr>
        <w:spacing w:line="360" w:lineRule="auto"/>
        <w:ind w:firstLine="480" w:firstLineChars="200"/>
        <w:rPr>
          <w:rFonts w:hint="eastAsia" w:ascii="宋体" w:hAnsi="宋体"/>
          <w:sz w:val="24"/>
        </w:rPr>
      </w:pPr>
      <w:r>
        <w:rPr>
          <w:rFonts w:hint="eastAsia" w:ascii="宋体" w:hAnsi="宋体"/>
          <w:sz w:val="24"/>
        </w:rPr>
        <w:t>培训计划实施是整个培训体系中最重要的一环，也是达到预期培训目标的基本途径。公司为员工提供多种形式的个性化培训，主要包括入职培训、岗位培训、资质类培训、转岗培训、继续教育等。</w:t>
      </w:r>
    </w:p>
    <w:p>
      <w:pPr>
        <w:spacing w:line="360" w:lineRule="auto"/>
        <w:jc w:val="center"/>
        <w:rPr>
          <w:rFonts w:hint="eastAsia" w:ascii="宋体" w:hAnsi="宋体"/>
          <w:b/>
          <w:sz w:val="24"/>
        </w:rPr>
      </w:pPr>
      <w:r>
        <w:rPr>
          <w:rFonts w:hint="eastAsia" w:ascii="宋体" w:hAnsi="宋体"/>
          <w:b/>
          <w:sz w:val="24"/>
        </w:rPr>
        <w:t>图表-4  员工教育培训内容</w:t>
      </w:r>
    </w:p>
    <w:tbl>
      <w:tblPr>
        <w:tblStyle w:val="18"/>
        <w:tblpPr w:leftFromText="180" w:rightFromText="180" w:vertAnchor="text" w:horzAnchor="margin" w:tblpXSpec="center" w:tblpY="112"/>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17"/>
        <w:gridCol w:w="1985"/>
        <w:gridCol w:w="2835"/>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43" w:type="dxa"/>
            <w:tcBorders>
              <w:bottom w:val="single" w:color="auto" w:sz="4" w:space="0"/>
            </w:tcBorders>
            <w:shd w:val="clear" w:color="auto" w:fill="FBE4D5"/>
            <w:noWrap w:val="0"/>
            <w:vAlign w:val="center"/>
          </w:tcPr>
          <w:p>
            <w:pPr>
              <w:jc w:val="center"/>
              <w:rPr>
                <w:rFonts w:hint="eastAsia" w:ascii="宋体" w:hAnsi="宋体"/>
                <w:b/>
                <w:bCs/>
                <w:szCs w:val="21"/>
              </w:rPr>
            </w:pPr>
            <w:r>
              <w:rPr>
                <w:rFonts w:hint="eastAsia" w:ascii="宋体" w:hAnsi="宋体"/>
                <w:b/>
                <w:bCs/>
                <w:szCs w:val="21"/>
              </w:rPr>
              <w:t>培训类别</w:t>
            </w:r>
          </w:p>
        </w:tc>
        <w:tc>
          <w:tcPr>
            <w:tcW w:w="1417"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w:t>
            </w:r>
          </w:p>
          <w:p>
            <w:pPr>
              <w:jc w:val="center"/>
              <w:rPr>
                <w:rFonts w:hint="eastAsia" w:ascii="宋体" w:hAnsi="宋体"/>
                <w:b/>
                <w:bCs/>
                <w:szCs w:val="21"/>
              </w:rPr>
            </w:pPr>
            <w:r>
              <w:rPr>
                <w:rFonts w:hint="eastAsia" w:ascii="宋体" w:hAnsi="宋体"/>
                <w:b/>
                <w:bCs/>
                <w:szCs w:val="21"/>
              </w:rPr>
              <w:t>对象</w:t>
            </w:r>
          </w:p>
        </w:tc>
        <w:tc>
          <w:tcPr>
            <w:tcW w:w="1985"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培训目的</w:t>
            </w:r>
          </w:p>
        </w:tc>
        <w:tc>
          <w:tcPr>
            <w:tcW w:w="2835"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培训内容</w:t>
            </w:r>
          </w:p>
        </w:tc>
        <w:tc>
          <w:tcPr>
            <w:tcW w:w="2029"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743" w:type="dxa"/>
            <w:shd w:val="clear" w:color="auto" w:fill="F2F2F2"/>
            <w:noWrap w:val="0"/>
            <w:vAlign w:val="center"/>
          </w:tcPr>
          <w:p>
            <w:pPr>
              <w:jc w:val="center"/>
              <w:rPr>
                <w:rFonts w:hint="eastAsia" w:ascii="宋体" w:hAnsi="宋体"/>
                <w:szCs w:val="21"/>
              </w:rPr>
            </w:pPr>
            <w:r>
              <w:rPr>
                <w:rFonts w:hint="eastAsia" w:ascii="宋体" w:hAnsi="宋体"/>
                <w:szCs w:val="21"/>
              </w:rPr>
              <w:t>入职培训</w:t>
            </w:r>
          </w:p>
        </w:tc>
        <w:tc>
          <w:tcPr>
            <w:tcW w:w="1417" w:type="dxa"/>
            <w:noWrap w:val="0"/>
            <w:vAlign w:val="center"/>
          </w:tcPr>
          <w:p>
            <w:pPr>
              <w:jc w:val="center"/>
              <w:rPr>
                <w:rFonts w:hint="eastAsia" w:ascii="宋体" w:hAnsi="宋体"/>
                <w:szCs w:val="21"/>
              </w:rPr>
            </w:pPr>
            <w:r>
              <w:rPr>
                <w:rFonts w:hint="eastAsia" w:ascii="宋体" w:hAnsi="宋体"/>
                <w:szCs w:val="21"/>
              </w:rPr>
              <w:t>新员工</w:t>
            </w:r>
          </w:p>
        </w:tc>
        <w:tc>
          <w:tcPr>
            <w:tcW w:w="1985" w:type="dxa"/>
            <w:noWrap w:val="0"/>
            <w:vAlign w:val="center"/>
          </w:tcPr>
          <w:p>
            <w:pPr>
              <w:rPr>
                <w:rFonts w:hint="eastAsia" w:ascii="宋体" w:hAnsi="宋体"/>
                <w:szCs w:val="21"/>
              </w:rPr>
            </w:pPr>
            <w:r>
              <w:rPr>
                <w:rFonts w:hint="eastAsia" w:ascii="宋体" w:hAnsi="宋体"/>
                <w:szCs w:val="21"/>
              </w:rPr>
              <w:t>了解企业文化，熟悉公司规章制度，提升质量意识，保障员工安全作业</w:t>
            </w:r>
          </w:p>
        </w:tc>
        <w:tc>
          <w:tcPr>
            <w:tcW w:w="2835" w:type="dxa"/>
            <w:noWrap w:val="0"/>
            <w:vAlign w:val="center"/>
          </w:tcPr>
          <w:p>
            <w:pPr>
              <w:rPr>
                <w:rFonts w:hint="eastAsia" w:ascii="宋体" w:hAnsi="宋体"/>
                <w:szCs w:val="21"/>
              </w:rPr>
            </w:pPr>
            <w:r>
              <w:rPr>
                <w:rFonts w:hint="eastAsia" w:ascii="宋体" w:hAnsi="宋体"/>
                <w:szCs w:val="21"/>
              </w:rPr>
              <w:t>企业文化、规章制度、安全法规、质量管理与环安管理意识、质量基础知识</w:t>
            </w:r>
          </w:p>
        </w:tc>
        <w:tc>
          <w:tcPr>
            <w:tcW w:w="2029" w:type="dxa"/>
            <w:noWrap w:val="0"/>
            <w:vAlign w:val="center"/>
          </w:tcPr>
          <w:p>
            <w:pPr>
              <w:rPr>
                <w:rFonts w:hint="eastAsia" w:ascii="宋体" w:hAnsi="宋体"/>
                <w:szCs w:val="21"/>
              </w:rPr>
            </w:pPr>
            <w:r>
              <w:rPr>
                <w:rFonts w:hint="eastAsia" w:ascii="宋体" w:hAnsi="宋体"/>
                <w:szCs w:val="21"/>
              </w:rPr>
              <w:t>课堂授课、视频、现场参观等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3" w:type="dxa"/>
            <w:vMerge w:val="restart"/>
            <w:shd w:val="clear" w:color="auto" w:fill="F2F2F2"/>
            <w:noWrap w:val="0"/>
            <w:vAlign w:val="center"/>
          </w:tcPr>
          <w:p>
            <w:pPr>
              <w:jc w:val="center"/>
              <w:rPr>
                <w:rFonts w:hint="eastAsia" w:ascii="宋体" w:hAnsi="宋体"/>
                <w:szCs w:val="21"/>
              </w:rPr>
            </w:pPr>
            <w:r>
              <w:rPr>
                <w:rFonts w:hint="eastAsia" w:ascii="宋体" w:hAnsi="宋体"/>
                <w:szCs w:val="21"/>
              </w:rPr>
              <w:t>岗位培训</w:t>
            </w:r>
          </w:p>
        </w:tc>
        <w:tc>
          <w:tcPr>
            <w:tcW w:w="1417" w:type="dxa"/>
            <w:noWrap w:val="0"/>
            <w:vAlign w:val="center"/>
          </w:tcPr>
          <w:p>
            <w:pPr>
              <w:jc w:val="center"/>
              <w:rPr>
                <w:rFonts w:hint="eastAsia" w:ascii="宋体" w:hAnsi="宋体"/>
                <w:szCs w:val="21"/>
              </w:rPr>
            </w:pPr>
            <w:r>
              <w:rPr>
                <w:rFonts w:hint="eastAsia" w:ascii="宋体" w:hAnsi="宋体"/>
                <w:szCs w:val="21"/>
              </w:rPr>
              <w:t>管理人员</w:t>
            </w:r>
          </w:p>
        </w:tc>
        <w:tc>
          <w:tcPr>
            <w:tcW w:w="1985" w:type="dxa"/>
            <w:noWrap w:val="0"/>
            <w:vAlign w:val="center"/>
          </w:tcPr>
          <w:p>
            <w:pPr>
              <w:rPr>
                <w:rFonts w:hint="eastAsia" w:ascii="宋体" w:hAnsi="宋体"/>
                <w:szCs w:val="21"/>
              </w:rPr>
            </w:pPr>
            <w:r>
              <w:rPr>
                <w:rFonts w:hint="eastAsia" w:ascii="宋体" w:hAnsi="宋体"/>
                <w:szCs w:val="21"/>
              </w:rPr>
              <w:t>培养个人综合能力，提升管理水平</w:t>
            </w:r>
          </w:p>
        </w:tc>
        <w:tc>
          <w:tcPr>
            <w:tcW w:w="2835" w:type="dxa"/>
            <w:noWrap w:val="0"/>
            <w:vAlign w:val="center"/>
          </w:tcPr>
          <w:p>
            <w:pPr>
              <w:rPr>
                <w:rFonts w:hint="eastAsia" w:ascii="宋体" w:hAnsi="宋体"/>
                <w:szCs w:val="21"/>
              </w:rPr>
            </w:pPr>
            <w:r>
              <w:rPr>
                <w:rFonts w:hint="eastAsia" w:ascii="宋体" w:hAnsi="宋体"/>
                <w:szCs w:val="21"/>
              </w:rPr>
              <w:t>通用知识、管理技能、综合素养等，课程</w:t>
            </w:r>
          </w:p>
        </w:tc>
        <w:tc>
          <w:tcPr>
            <w:tcW w:w="2029" w:type="dxa"/>
            <w:noWrap w:val="0"/>
            <w:vAlign w:val="center"/>
          </w:tcPr>
          <w:p>
            <w:pPr>
              <w:rPr>
                <w:rFonts w:hint="eastAsia" w:ascii="宋体" w:hAnsi="宋体"/>
                <w:szCs w:val="21"/>
              </w:rPr>
            </w:pPr>
            <w:r>
              <w:rPr>
                <w:rFonts w:hint="eastAsia" w:ascii="宋体" w:hAnsi="宋体"/>
                <w:szCs w:val="21"/>
              </w:rPr>
              <w:t>标杆企业参观，参加知名学者、教授相关讲座等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3" w:type="dxa"/>
            <w:vMerge w:val="continue"/>
            <w:shd w:val="clear" w:color="auto" w:fill="F2F2F2"/>
            <w:noWrap w:val="0"/>
            <w:vAlign w:val="center"/>
          </w:tcPr>
          <w:p>
            <w:pPr>
              <w:jc w:val="center"/>
              <w:rPr>
                <w:rFonts w:hint="eastAsia" w:ascii="宋体" w:hAnsi="宋体"/>
                <w:szCs w:val="21"/>
              </w:rPr>
            </w:pPr>
          </w:p>
        </w:tc>
        <w:tc>
          <w:tcPr>
            <w:tcW w:w="1417" w:type="dxa"/>
            <w:noWrap w:val="0"/>
            <w:vAlign w:val="center"/>
          </w:tcPr>
          <w:p>
            <w:pPr>
              <w:jc w:val="center"/>
              <w:rPr>
                <w:rFonts w:hint="eastAsia" w:ascii="宋体" w:hAnsi="宋体"/>
                <w:szCs w:val="21"/>
              </w:rPr>
            </w:pPr>
            <w:r>
              <w:rPr>
                <w:rFonts w:hint="eastAsia" w:ascii="宋体" w:hAnsi="宋体"/>
                <w:szCs w:val="21"/>
              </w:rPr>
              <w:t>专业技术人员</w:t>
            </w:r>
          </w:p>
        </w:tc>
        <w:tc>
          <w:tcPr>
            <w:tcW w:w="1985" w:type="dxa"/>
            <w:noWrap w:val="0"/>
            <w:vAlign w:val="center"/>
          </w:tcPr>
          <w:p>
            <w:pPr>
              <w:rPr>
                <w:rFonts w:hint="eastAsia" w:ascii="宋体" w:hAnsi="宋体"/>
                <w:szCs w:val="21"/>
              </w:rPr>
            </w:pPr>
            <w:r>
              <w:rPr>
                <w:rFonts w:hint="eastAsia" w:ascii="宋体" w:hAnsi="宋体"/>
                <w:szCs w:val="21"/>
              </w:rPr>
              <w:t>培养专业研发技术人员，掌握系统的专业技能</w:t>
            </w:r>
          </w:p>
        </w:tc>
        <w:tc>
          <w:tcPr>
            <w:tcW w:w="2835" w:type="dxa"/>
            <w:noWrap w:val="0"/>
            <w:vAlign w:val="center"/>
          </w:tcPr>
          <w:p>
            <w:pPr>
              <w:rPr>
                <w:rFonts w:hint="eastAsia" w:ascii="宋体" w:hAnsi="宋体"/>
                <w:szCs w:val="21"/>
              </w:rPr>
            </w:pPr>
            <w:r>
              <w:rPr>
                <w:rFonts w:hint="eastAsia" w:ascii="宋体" w:hAnsi="宋体"/>
                <w:szCs w:val="21"/>
              </w:rPr>
              <w:t>专业技能、专业技术</w:t>
            </w:r>
          </w:p>
        </w:tc>
        <w:tc>
          <w:tcPr>
            <w:tcW w:w="2029" w:type="dxa"/>
            <w:noWrap w:val="0"/>
            <w:vAlign w:val="center"/>
          </w:tcPr>
          <w:p>
            <w:pPr>
              <w:rPr>
                <w:rFonts w:hint="eastAsia" w:ascii="宋体" w:hAnsi="宋体"/>
                <w:szCs w:val="21"/>
              </w:rPr>
            </w:pPr>
            <w:r>
              <w:rPr>
                <w:rFonts w:hint="eastAsia" w:ascii="宋体" w:hAnsi="宋体"/>
                <w:szCs w:val="21"/>
              </w:rPr>
              <w:t>外出参加交流会、专业论坛等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43" w:type="dxa"/>
            <w:vMerge w:val="continue"/>
            <w:shd w:val="clear" w:color="auto" w:fill="F2F2F2"/>
            <w:noWrap w:val="0"/>
            <w:vAlign w:val="center"/>
          </w:tcPr>
          <w:p>
            <w:pPr>
              <w:jc w:val="center"/>
              <w:rPr>
                <w:rFonts w:hint="eastAsia" w:ascii="宋体" w:hAnsi="宋体"/>
                <w:szCs w:val="21"/>
              </w:rPr>
            </w:pPr>
          </w:p>
        </w:tc>
        <w:tc>
          <w:tcPr>
            <w:tcW w:w="1417" w:type="dxa"/>
            <w:noWrap w:val="0"/>
            <w:vAlign w:val="center"/>
          </w:tcPr>
          <w:p>
            <w:pPr>
              <w:jc w:val="center"/>
              <w:rPr>
                <w:rFonts w:hint="eastAsia" w:ascii="宋体" w:hAnsi="宋体"/>
                <w:szCs w:val="21"/>
              </w:rPr>
            </w:pPr>
            <w:r>
              <w:rPr>
                <w:rFonts w:hint="eastAsia" w:ascii="宋体" w:hAnsi="宋体"/>
                <w:szCs w:val="21"/>
              </w:rPr>
              <w:t>一线作业人员</w:t>
            </w:r>
          </w:p>
        </w:tc>
        <w:tc>
          <w:tcPr>
            <w:tcW w:w="1985" w:type="dxa"/>
            <w:noWrap w:val="0"/>
            <w:vAlign w:val="center"/>
          </w:tcPr>
          <w:p>
            <w:pPr>
              <w:rPr>
                <w:rFonts w:hint="eastAsia" w:ascii="宋体" w:hAnsi="宋体"/>
                <w:szCs w:val="21"/>
              </w:rPr>
            </w:pPr>
            <w:r>
              <w:rPr>
                <w:rFonts w:hint="eastAsia" w:ascii="宋体" w:hAnsi="宋体"/>
                <w:szCs w:val="21"/>
              </w:rPr>
              <w:t>熟练掌握岗位操作技能</w:t>
            </w:r>
          </w:p>
        </w:tc>
        <w:tc>
          <w:tcPr>
            <w:tcW w:w="2835" w:type="dxa"/>
            <w:noWrap w:val="0"/>
            <w:vAlign w:val="center"/>
          </w:tcPr>
          <w:p>
            <w:pPr>
              <w:rPr>
                <w:rFonts w:hint="eastAsia" w:ascii="宋体" w:hAnsi="宋体"/>
                <w:szCs w:val="21"/>
              </w:rPr>
            </w:pPr>
            <w:r>
              <w:rPr>
                <w:rFonts w:hint="eastAsia" w:ascii="宋体" w:hAnsi="宋体"/>
                <w:szCs w:val="21"/>
              </w:rPr>
              <w:t>岗位技能要求、工作标准及制度等</w:t>
            </w:r>
          </w:p>
        </w:tc>
        <w:tc>
          <w:tcPr>
            <w:tcW w:w="2029" w:type="dxa"/>
            <w:noWrap w:val="0"/>
            <w:vAlign w:val="center"/>
          </w:tcPr>
          <w:p>
            <w:pPr>
              <w:rPr>
                <w:rFonts w:hint="eastAsia" w:ascii="宋体" w:hAnsi="宋体"/>
                <w:szCs w:val="21"/>
              </w:rPr>
            </w:pPr>
            <w:r>
              <w:rPr>
                <w:rFonts w:hint="eastAsia" w:ascii="宋体" w:hAnsi="宋体"/>
                <w:szCs w:val="21"/>
              </w:rPr>
              <w:t>集中统一内训，老带新等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43" w:type="dxa"/>
            <w:vMerge w:val="restart"/>
            <w:shd w:val="clear" w:color="auto" w:fill="F2F2F2"/>
            <w:noWrap w:val="0"/>
            <w:vAlign w:val="center"/>
          </w:tcPr>
          <w:p>
            <w:pPr>
              <w:jc w:val="center"/>
              <w:rPr>
                <w:rFonts w:hint="eastAsia" w:ascii="宋体" w:hAnsi="宋体"/>
                <w:szCs w:val="21"/>
              </w:rPr>
            </w:pPr>
            <w:r>
              <w:rPr>
                <w:rFonts w:hint="eastAsia" w:ascii="宋体" w:hAnsi="宋体"/>
                <w:szCs w:val="21"/>
              </w:rPr>
              <w:t>资质类培训</w:t>
            </w:r>
          </w:p>
        </w:tc>
        <w:tc>
          <w:tcPr>
            <w:tcW w:w="1417" w:type="dxa"/>
            <w:noWrap w:val="0"/>
            <w:vAlign w:val="center"/>
          </w:tcPr>
          <w:p>
            <w:pPr>
              <w:rPr>
                <w:rFonts w:hint="eastAsia" w:ascii="宋体" w:hAnsi="宋体"/>
                <w:szCs w:val="21"/>
              </w:rPr>
            </w:pPr>
            <w:r>
              <w:rPr>
                <w:rFonts w:hint="eastAsia" w:ascii="宋体" w:hAnsi="宋体"/>
                <w:szCs w:val="21"/>
              </w:rPr>
              <w:t>关键岗位作业人员</w:t>
            </w:r>
          </w:p>
        </w:tc>
        <w:tc>
          <w:tcPr>
            <w:tcW w:w="1985" w:type="dxa"/>
            <w:noWrap w:val="0"/>
            <w:vAlign w:val="center"/>
          </w:tcPr>
          <w:p>
            <w:pPr>
              <w:rPr>
                <w:rFonts w:hint="eastAsia" w:ascii="宋体" w:hAnsi="宋体"/>
                <w:szCs w:val="21"/>
              </w:rPr>
            </w:pPr>
            <w:r>
              <w:rPr>
                <w:rFonts w:hint="eastAsia" w:ascii="宋体" w:hAnsi="宋体"/>
                <w:szCs w:val="21"/>
              </w:rPr>
              <w:t>保证关键岗位人员具备岗位技能要求并持证上岗</w:t>
            </w:r>
          </w:p>
        </w:tc>
        <w:tc>
          <w:tcPr>
            <w:tcW w:w="2835" w:type="dxa"/>
            <w:noWrap w:val="0"/>
            <w:vAlign w:val="center"/>
          </w:tcPr>
          <w:p>
            <w:pPr>
              <w:rPr>
                <w:rFonts w:hint="eastAsia" w:ascii="宋体" w:hAnsi="宋体"/>
                <w:szCs w:val="21"/>
              </w:rPr>
            </w:pPr>
            <w:r>
              <w:rPr>
                <w:rFonts w:hint="eastAsia" w:ascii="宋体" w:hAnsi="宋体"/>
                <w:szCs w:val="21"/>
              </w:rPr>
              <w:t>岗位专业技能及知识、工作标准</w:t>
            </w:r>
          </w:p>
        </w:tc>
        <w:tc>
          <w:tcPr>
            <w:tcW w:w="2029" w:type="dxa"/>
            <w:noWrap w:val="0"/>
            <w:vAlign w:val="center"/>
          </w:tcPr>
          <w:p>
            <w:pPr>
              <w:rPr>
                <w:rFonts w:hint="eastAsia" w:ascii="宋体" w:hAnsi="宋体"/>
                <w:szCs w:val="21"/>
              </w:rPr>
            </w:pPr>
            <w:r>
              <w:rPr>
                <w:rFonts w:hint="eastAsia" w:ascii="宋体" w:hAnsi="宋体"/>
                <w:szCs w:val="21"/>
              </w:rPr>
              <w:t>内训或外训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43" w:type="dxa"/>
            <w:vMerge w:val="continue"/>
            <w:tcBorders>
              <w:bottom w:val="single" w:color="auto" w:sz="4" w:space="0"/>
            </w:tcBorders>
            <w:shd w:val="clear" w:color="auto" w:fill="F2F2F2"/>
            <w:noWrap w:val="0"/>
            <w:vAlign w:val="center"/>
          </w:tcPr>
          <w:p>
            <w:pPr>
              <w:jc w:val="center"/>
              <w:rPr>
                <w:rFonts w:hint="eastAsia" w:ascii="宋体" w:hAnsi="宋体"/>
                <w:szCs w:val="21"/>
              </w:rPr>
            </w:pPr>
          </w:p>
        </w:tc>
        <w:tc>
          <w:tcPr>
            <w:tcW w:w="1417" w:type="dxa"/>
            <w:noWrap w:val="0"/>
            <w:vAlign w:val="center"/>
          </w:tcPr>
          <w:p>
            <w:pPr>
              <w:rPr>
                <w:rFonts w:hint="eastAsia" w:ascii="宋体" w:hAnsi="宋体"/>
                <w:szCs w:val="21"/>
              </w:rPr>
            </w:pPr>
            <w:r>
              <w:rPr>
                <w:rFonts w:hint="eastAsia" w:ascii="宋体" w:hAnsi="宋体"/>
                <w:szCs w:val="21"/>
              </w:rPr>
              <w:t>特种作业人员</w:t>
            </w:r>
          </w:p>
        </w:tc>
        <w:tc>
          <w:tcPr>
            <w:tcW w:w="1985" w:type="dxa"/>
            <w:noWrap w:val="0"/>
            <w:vAlign w:val="center"/>
          </w:tcPr>
          <w:p>
            <w:pPr>
              <w:rPr>
                <w:rFonts w:hint="eastAsia" w:ascii="宋体" w:hAnsi="宋体"/>
                <w:szCs w:val="21"/>
              </w:rPr>
            </w:pPr>
            <w:r>
              <w:rPr>
                <w:rFonts w:hint="eastAsia" w:ascii="宋体" w:hAnsi="宋体"/>
                <w:szCs w:val="21"/>
              </w:rPr>
              <w:t>保证国家规定的特种作业从业人员持证上岗</w:t>
            </w:r>
          </w:p>
        </w:tc>
        <w:tc>
          <w:tcPr>
            <w:tcW w:w="2835" w:type="dxa"/>
            <w:noWrap w:val="0"/>
            <w:vAlign w:val="center"/>
          </w:tcPr>
          <w:p>
            <w:pPr>
              <w:rPr>
                <w:rFonts w:hint="eastAsia" w:ascii="宋体" w:hAnsi="宋体"/>
                <w:szCs w:val="21"/>
              </w:rPr>
            </w:pPr>
            <w:r>
              <w:rPr>
                <w:rFonts w:hint="eastAsia" w:ascii="宋体" w:hAnsi="宋体"/>
                <w:szCs w:val="21"/>
              </w:rPr>
              <w:t>特种作业技能及相关法律法规等</w:t>
            </w:r>
          </w:p>
        </w:tc>
        <w:tc>
          <w:tcPr>
            <w:tcW w:w="2029" w:type="dxa"/>
            <w:noWrap w:val="0"/>
            <w:vAlign w:val="center"/>
          </w:tcPr>
          <w:p>
            <w:pPr>
              <w:rPr>
                <w:rFonts w:hint="eastAsia" w:ascii="宋体" w:hAnsi="宋体"/>
                <w:szCs w:val="21"/>
              </w:rPr>
            </w:pPr>
            <w:r>
              <w:rPr>
                <w:rFonts w:hint="eastAsia" w:ascii="宋体" w:hAnsi="宋体"/>
                <w:szCs w:val="21"/>
              </w:rPr>
              <w:t>参加相关具备资质的部门组织的短期脱产培训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43" w:type="dxa"/>
            <w:tcBorders>
              <w:bottom w:val="single" w:color="auto" w:sz="4" w:space="0"/>
            </w:tcBorders>
            <w:shd w:val="clear" w:color="auto" w:fill="F2F2F2"/>
            <w:noWrap w:val="0"/>
            <w:vAlign w:val="center"/>
          </w:tcPr>
          <w:p>
            <w:pPr>
              <w:jc w:val="center"/>
              <w:rPr>
                <w:rFonts w:hint="eastAsia" w:ascii="宋体" w:hAnsi="宋体"/>
                <w:szCs w:val="21"/>
              </w:rPr>
            </w:pPr>
            <w:r>
              <w:rPr>
                <w:rFonts w:hint="eastAsia" w:ascii="宋体" w:hAnsi="宋体"/>
                <w:szCs w:val="21"/>
              </w:rPr>
              <w:t>转岗培训</w:t>
            </w:r>
          </w:p>
        </w:tc>
        <w:tc>
          <w:tcPr>
            <w:tcW w:w="1417" w:type="dxa"/>
            <w:noWrap w:val="0"/>
            <w:vAlign w:val="center"/>
          </w:tcPr>
          <w:p>
            <w:pPr>
              <w:rPr>
                <w:rFonts w:hint="eastAsia" w:ascii="宋体" w:hAnsi="宋体"/>
                <w:szCs w:val="21"/>
              </w:rPr>
            </w:pPr>
            <w:r>
              <w:rPr>
                <w:rFonts w:hint="eastAsia" w:ascii="宋体" w:hAnsi="宋体"/>
                <w:szCs w:val="21"/>
              </w:rPr>
              <w:t>职务晋升人员</w:t>
            </w:r>
          </w:p>
          <w:p>
            <w:pPr>
              <w:rPr>
                <w:rFonts w:hint="eastAsia" w:ascii="宋体" w:hAnsi="宋体"/>
                <w:szCs w:val="21"/>
              </w:rPr>
            </w:pPr>
            <w:r>
              <w:rPr>
                <w:rFonts w:hint="eastAsia" w:ascii="宋体" w:hAnsi="宋体"/>
                <w:szCs w:val="21"/>
              </w:rPr>
              <w:t>一般转岗人员</w:t>
            </w:r>
          </w:p>
          <w:p>
            <w:pPr>
              <w:rPr>
                <w:rFonts w:hint="eastAsia" w:ascii="宋体" w:hAnsi="宋体"/>
                <w:szCs w:val="21"/>
              </w:rPr>
            </w:pPr>
            <w:r>
              <w:rPr>
                <w:rFonts w:hint="eastAsia" w:ascii="宋体" w:hAnsi="宋体"/>
                <w:szCs w:val="21"/>
              </w:rPr>
              <w:t>复职人员</w:t>
            </w:r>
          </w:p>
        </w:tc>
        <w:tc>
          <w:tcPr>
            <w:tcW w:w="1985" w:type="dxa"/>
            <w:noWrap w:val="0"/>
            <w:vAlign w:val="center"/>
          </w:tcPr>
          <w:p>
            <w:pPr>
              <w:rPr>
                <w:rFonts w:hint="eastAsia" w:ascii="宋体" w:hAnsi="宋体"/>
                <w:szCs w:val="21"/>
              </w:rPr>
            </w:pPr>
            <w:r>
              <w:rPr>
                <w:rFonts w:hint="eastAsia" w:ascii="宋体" w:hAnsi="宋体"/>
                <w:szCs w:val="21"/>
              </w:rPr>
              <w:t>达到新岗位技能要求</w:t>
            </w:r>
          </w:p>
        </w:tc>
        <w:tc>
          <w:tcPr>
            <w:tcW w:w="2835" w:type="dxa"/>
            <w:noWrap w:val="0"/>
            <w:vAlign w:val="center"/>
          </w:tcPr>
          <w:p>
            <w:pPr>
              <w:rPr>
                <w:rFonts w:hint="eastAsia" w:ascii="宋体" w:hAnsi="宋体"/>
                <w:szCs w:val="21"/>
              </w:rPr>
            </w:pPr>
            <w:r>
              <w:rPr>
                <w:rFonts w:hint="eastAsia" w:ascii="宋体" w:hAnsi="宋体"/>
                <w:szCs w:val="21"/>
              </w:rPr>
              <w:t>岗位专业技能、工作标准及制度等</w:t>
            </w:r>
          </w:p>
        </w:tc>
        <w:tc>
          <w:tcPr>
            <w:tcW w:w="2029" w:type="dxa"/>
            <w:noWrap w:val="0"/>
            <w:vAlign w:val="center"/>
          </w:tcPr>
          <w:p>
            <w:pPr>
              <w:rPr>
                <w:rFonts w:hint="eastAsia" w:ascii="宋体" w:hAnsi="宋体"/>
                <w:szCs w:val="21"/>
              </w:rPr>
            </w:pPr>
            <w:r>
              <w:rPr>
                <w:rFonts w:hint="eastAsia" w:ascii="宋体" w:hAnsi="宋体"/>
                <w:szCs w:val="21"/>
              </w:rPr>
              <w:t>内训或部门自行组织培训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43" w:type="dxa"/>
            <w:shd w:val="clear" w:color="auto" w:fill="F2F2F2"/>
            <w:noWrap w:val="0"/>
            <w:vAlign w:val="center"/>
          </w:tcPr>
          <w:p>
            <w:pPr>
              <w:jc w:val="center"/>
              <w:rPr>
                <w:rFonts w:hint="eastAsia" w:ascii="宋体" w:hAnsi="宋体"/>
                <w:szCs w:val="21"/>
              </w:rPr>
            </w:pPr>
            <w:r>
              <w:rPr>
                <w:rFonts w:hint="eastAsia" w:ascii="宋体" w:hAnsi="宋体"/>
                <w:szCs w:val="21"/>
              </w:rPr>
              <w:t>继续教育</w:t>
            </w:r>
          </w:p>
        </w:tc>
        <w:tc>
          <w:tcPr>
            <w:tcW w:w="1417" w:type="dxa"/>
            <w:noWrap w:val="0"/>
            <w:vAlign w:val="center"/>
          </w:tcPr>
          <w:p>
            <w:pPr>
              <w:rPr>
                <w:rFonts w:hint="eastAsia" w:ascii="宋体" w:hAnsi="宋体"/>
                <w:szCs w:val="21"/>
              </w:rPr>
            </w:pPr>
            <w:r>
              <w:rPr>
                <w:rFonts w:hint="eastAsia" w:ascii="宋体" w:hAnsi="宋体"/>
                <w:szCs w:val="21"/>
              </w:rPr>
              <w:t>重点培养人员、储备人才及其他好学人员</w:t>
            </w:r>
          </w:p>
        </w:tc>
        <w:tc>
          <w:tcPr>
            <w:tcW w:w="1985" w:type="dxa"/>
            <w:noWrap w:val="0"/>
            <w:vAlign w:val="center"/>
          </w:tcPr>
          <w:p>
            <w:pPr>
              <w:rPr>
                <w:rFonts w:hint="eastAsia" w:ascii="宋体" w:hAnsi="宋体"/>
                <w:szCs w:val="21"/>
              </w:rPr>
            </w:pPr>
            <w:r>
              <w:rPr>
                <w:rFonts w:hint="eastAsia" w:ascii="宋体" w:hAnsi="宋体"/>
                <w:szCs w:val="21"/>
              </w:rPr>
              <w:t>满足员工潜在发展需求</w:t>
            </w:r>
          </w:p>
        </w:tc>
        <w:tc>
          <w:tcPr>
            <w:tcW w:w="2835" w:type="dxa"/>
            <w:noWrap w:val="0"/>
            <w:vAlign w:val="center"/>
          </w:tcPr>
          <w:p>
            <w:pPr>
              <w:rPr>
                <w:rFonts w:hint="eastAsia" w:ascii="宋体" w:hAnsi="宋体"/>
                <w:szCs w:val="21"/>
              </w:rPr>
            </w:pPr>
            <w:r>
              <w:rPr>
                <w:rFonts w:hint="eastAsia" w:ascii="宋体" w:hAnsi="宋体"/>
                <w:szCs w:val="21"/>
              </w:rPr>
              <w:t>学历教育</w:t>
            </w:r>
          </w:p>
        </w:tc>
        <w:tc>
          <w:tcPr>
            <w:tcW w:w="2029" w:type="dxa"/>
            <w:noWrap w:val="0"/>
            <w:vAlign w:val="center"/>
          </w:tcPr>
          <w:p>
            <w:pPr>
              <w:rPr>
                <w:rFonts w:hint="eastAsia" w:ascii="宋体" w:hAnsi="宋体"/>
                <w:szCs w:val="21"/>
              </w:rPr>
            </w:pPr>
            <w:r>
              <w:rPr>
                <w:rFonts w:hint="eastAsia" w:ascii="宋体" w:hAnsi="宋体"/>
                <w:szCs w:val="21"/>
              </w:rPr>
              <w:t>远程教育、委托培养、自学等</w:t>
            </w:r>
          </w:p>
        </w:tc>
      </w:tr>
    </w:tbl>
    <w:p>
      <w:pPr>
        <w:autoSpaceDE w:val="0"/>
        <w:autoSpaceDN w:val="0"/>
        <w:spacing w:line="360" w:lineRule="auto"/>
        <w:ind w:firstLine="480" w:firstLineChars="200"/>
        <w:jc w:val="left"/>
        <w:rPr>
          <w:rFonts w:hint="eastAsia" w:ascii="宋体" w:hAnsi="宋体"/>
          <w:sz w:val="24"/>
        </w:rPr>
      </w:pPr>
      <w:r>
        <w:rPr>
          <w:rFonts w:hint="eastAsia" w:ascii="宋体" w:hAnsi="宋体"/>
          <w:sz w:val="24"/>
        </w:rPr>
        <w:t>培训责任部门（人员）在培训结束后进行小结，或组织参训人员填写《培训项目评估表》，以了解学员对培训效果的评价，培训责任部门（人员）通过不同检验方式，判断培训是否达到预期效果，如小结评价、绩效考核评价、获得资质证书等。</w:t>
      </w:r>
    </w:p>
    <w:p>
      <w:pPr>
        <w:pStyle w:val="47"/>
        <w:spacing w:line="360" w:lineRule="auto"/>
        <w:rPr>
          <w:rFonts w:hint="eastAsia" w:ascii="宋体" w:hAnsi="宋体"/>
          <w:b/>
          <w:sz w:val="24"/>
          <w:szCs w:val="24"/>
        </w:rPr>
      </w:pPr>
      <w:r>
        <w:rPr>
          <w:rFonts w:hint="eastAsia" w:ascii="宋体" w:hAnsi="宋体"/>
          <w:b/>
          <w:sz w:val="24"/>
          <w:szCs w:val="24"/>
        </w:rPr>
        <w:t>2.3.2.2</w:t>
      </w:r>
      <w:r>
        <w:rPr>
          <w:rFonts w:ascii="宋体" w:hAnsi="宋体"/>
          <w:b/>
          <w:sz w:val="24"/>
          <w:szCs w:val="24"/>
        </w:rPr>
        <w:t>员工职业发展</w:t>
      </w:r>
    </w:p>
    <w:p>
      <w:pPr>
        <w:spacing w:line="360" w:lineRule="auto"/>
        <w:ind w:firstLine="437"/>
        <w:rPr>
          <w:rFonts w:hint="eastAsia" w:ascii="宋体" w:hAnsi="宋体"/>
          <w:sz w:val="24"/>
        </w:rPr>
      </w:pPr>
      <w:r>
        <w:rPr>
          <w:rFonts w:hint="eastAsia" w:ascii="宋体" w:hAnsi="宋体"/>
          <w:sz w:val="24"/>
        </w:rPr>
        <w:t>公司帮助员工设计职业生涯发展规划，为员工提供适当的教育、培训、轮岗和晋升等发展机会，满足员工的职业发展愿望，进而实现组织与员工的共同成长、共同受益。针对不同岗位，公司制定了不同的岗位晋升制度，如针对操作工的一线员工技能发展通道、针对管理、技术类岗位人才梯队建设等，除了专项人才发展计划外，公司还实行竞争上岗机制、部门内部和跨部门轮岗机制、应届毕业生后备人才储备计划等帮助员工实现学习和发展目标的方法。</w:t>
      </w:r>
    </w:p>
    <w:p>
      <w:pPr>
        <w:autoSpaceDE w:val="0"/>
        <w:autoSpaceDN w:val="0"/>
        <w:spacing w:line="360" w:lineRule="auto"/>
        <w:ind w:firstLine="437"/>
        <w:jc w:val="left"/>
        <w:rPr>
          <w:rFonts w:hint="eastAsia" w:ascii="宋体" w:hAnsi="宋体"/>
          <w:sz w:val="24"/>
        </w:rPr>
      </w:pPr>
      <w:r>
        <w:rPr>
          <w:rFonts w:hint="eastAsia" w:ascii="宋体" w:hAnsi="宋体"/>
          <w:sz w:val="24"/>
        </w:rPr>
        <w:t>为实现公司人力资源战略目标与员工职业生涯规划同步，公司根据不同的职系设立不同的岗位发展路径，多层次的职业发展通道为员工提供了岗位晋升、跨部门轮岗等机会，有效激发了员工工作的主动性和创新性。</w:t>
      </w:r>
    </w:p>
    <w:p>
      <w:pPr>
        <w:autoSpaceDE w:val="0"/>
        <w:autoSpaceDN w:val="0"/>
        <w:spacing w:line="360" w:lineRule="auto"/>
        <w:jc w:val="center"/>
        <w:rPr>
          <w:rFonts w:hint="eastAsia" w:ascii="宋体" w:hAnsi="宋体"/>
          <w:b/>
          <w:sz w:val="24"/>
        </w:rPr>
      </w:pPr>
    </w:p>
    <w:p>
      <w:pPr>
        <w:spacing w:line="360" w:lineRule="auto"/>
        <w:rPr>
          <w:rFonts w:hint="eastAsia" w:ascii="宋体" w:hAnsi="宋体"/>
          <w:b/>
          <w:sz w:val="24"/>
        </w:rPr>
      </w:pPr>
      <w:r>
        <w:rPr>
          <w:rFonts w:hint="eastAsia" w:ascii="宋体" w:hAnsi="宋体"/>
          <w:b/>
          <w:sz w:val="24"/>
        </w:rPr>
        <w:t>2.3.3职业健康与安全</w:t>
      </w:r>
    </w:p>
    <w:p>
      <w:pPr>
        <w:spacing w:line="360" w:lineRule="auto"/>
        <w:ind w:firstLine="480" w:firstLineChars="200"/>
        <w:rPr>
          <w:rFonts w:hint="eastAsia" w:ascii="宋体" w:hAnsi="宋体"/>
          <w:sz w:val="24"/>
        </w:rPr>
      </w:pPr>
      <w:r>
        <w:rPr>
          <w:rFonts w:hint="eastAsia" w:ascii="宋体" w:hAnsi="宋体"/>
          <w:sz w:val="24"/>
        </w:rPr>
        <w:t>公司目前已经导入</w:t>
      </w:r>
      <w:r>
        <w:rPr>
          <w:rFonts w:ascii="宋体" w:hAnsi="宋体" w:cs="Arial"/>
          <w:bCs/>
          <w:sz w:val="24"/>
        </w:rPr>
        <w:t>ISO1400</w:t>
      </w:r>
      <w:r>
        <w:rPr>
          <w:rFonts w:hint="eastAsia" w:ascii="宋体" w:hAnsi="宋体" w:cs="Arial"/>
          <w:bCs/>
          <w:sz w:val="24"/>
        </w:rPr>
        <w:t>：</w:t>
      </w:r>
      <w:r>
        <w:rPr>
          <w:rFonts w:ascii="宋体" w:hAnsi="宋体" w:cs="Arial"/>
          <w:bCs/>
          <w:sz w:val="24"/>
        </w:rPr>
        <w:t>2018</w:t>
      </w:r>
      <w:r>
        <w:rPr>
          <w:rFonts w:hint="eastAsia" w:ascii="宋体" w:hAnsi="宋体"/>
          <w:sz w:val="24"/>
        </w:rPr>
        <w:t>职业健康安全管理体系，按照体系要求制定了职业健康安全方针目标及管理程序，并有效实施。公司对影响员工健康安全的风险进行了识别、评价，制定了针对性的保护、防范措施，目前公司已经建立了系统的安全生产、职业健康管理规章制度，并在生产办公区域张贴警示标语、紧急事故的抢救办法和逃生路线，配备了抢救用设备，如消防器材、紧急医用箱等，</w:t>
      </w:r>
      <w:r>
        <w:rPr>
          <w:rFonts w:hint="eastAsia" w:ascii="宋体" w:hAnsi="宋体"/>
          <w:sz w:val="24"/>
          <w:lang w:eastAsia="zh-CN"/>
        </w:rPr>
        <w:t>2023</w:t>
      </w:r>
      <w:r>
        <w:rPr>
          <w:rFonts w:hint="eastAsia" w:ascii="宋体" w:hAnsi="宋体"/>
          <w:sz w:val="24"/>
        </w:rPr>
        <w:t>年做了</w:t>
      </w:r>
      <w:r>
        <w:rPr>
          <w:rFonts w:hint="eastAsia" w:ascii="宋体" w:hAnsi="宋体"/>
          <w:sz w:val="24"/>
          <w:lang w:eastAsia="zh-CN"/>
        </w:rPr>
        <w:t>多</w:t>
      </w:r>
      <w:r>
        <w:rPr>
          <w:rFonts w:hint="eastAsia" w:ascii="宋体" w:hAnsi="宋体"/>
          <w:sz w:val="24"/>
        </w:rPr>
        <w:t>次消防演习，防患于未然。</w:t>
      </w:r>
    </w:p>
    <w:p>
      <w:pPr>
        <w:rPr>
          <w:rFonts w:hint="eastAsia" w:ascii="宋体" w:hAnsi="宋体"/>
          <w:b/>
          <w:sz w:val="24"/>
          <w:szCs w:val="32"/>
        </w:rPr>
      </w:pPr>
    </w:p>
    <w:p>
      <w:pPr>
        <w:rPr>
          <w:rFonts w:hint="eastAsia" w:ascii="宋体" w:hAnsi="宋体"/>
          <w:b/>
          <w:sz w:val="24"/>
          <w:szCs w:val="32"/>
        </w:rPr>
      </w:pPr>
    </w:p>
    <w:p>
      <w:pPr>
        <w:rPr>
          <w:rFonts w:hint="eastAsia" w:ascii="宋体" w:hAnsi="宋体"/>
          <w:b/>
          <w:sz w:val="24"/>
          <w:szCs w:val="32"/>
        </w:rPr>
      </w:pPr>
    </w:p>
    <w:p>
      <w:pPr>
        <w:rPr>
          <w:rFonts w:hint="eastAsia" w:ascii="宋体" w:hAnsi="宋体"/>
          <w:b/>
          <w:sz w:val="24"/>
          <w:szCs w:val="32"/>
        </w:rPr>
      </w:pPr>
    </w:p>
    <w:p>
      <w:pPr>
        <w:rPr>
          <w:rFonts w:hint="eastAsia" w:ascii="宋体" w:hAnsi="宋体"/>
          <w:b/>
          <w:sz w:val="24"/>
          <w:szCs w:val="32"/>
        </w:rPr>
      </w:pPr>
    </w:p>
    <w:p>
      <w:pPr>
        <w:rPr>
          <w:rFonts w:hint="eastAsia" w:ascii="宋体" w:hAnsi="宋体"/>
          <w:b/>
          <w:sz w:val="24"/>
          <w:szCs w:val="32"/>
        </w:rPr>
      </w:pPr>
    </w:p>
    <w:p>
      <w:pPr>
        <w:rPr>
          <w:rFonts w:hint="eastAsia" w:ascii="宋体" w:hAnsi="宋体"/>
          <w:b/>
          <w:sz w:val="24"/>
          <w:szCs w:val="32"/>
        </w:rPr>
      </w:pPr>
    </w:p>
    <w:p>
      <w:pPr>
        <w:spacing w:line="360" w:lineRule="auto"/>
        <w:rPr>
          <w:rFonts w:ascii="宋体" w:hAnsi="宋体"/>
          <w:b/>
          <w:sz w:val="24"/>
        </w:rPr>
      </w:pPr>
      <w:r>
        <w:rPr>
          <w:rFonts w:hint="eastAsia" w:ascii="宋体" w:hAnsi="宋体"/>
          <w:b/>
          <w:sz w:val="24"/>
        </w:rPr>
        <w:t>2.3.4 员工权益与关爱</w:t>
      </w:r>
    </w:p>
    <w:p>
      <w:pPr>
        <w:pStyle w:val="15"/>
        <w:shd w:val="clear" w:color="auto" w:fill="FFFFFF"/>
        <w:spacing w:before="0" w:beforeAutospacing="0" w:after="0" w:afterAutospacing="0" w:line="360" w:lineRule="auto"/>
        <w:ind w:firstLine="480" w:firstLineChars="200"/>
        <w:textAlignment w:val="baseline"/>
        <w:rPr>
          <w:rFonts w:hint="eastAsia"/>
          <w:b/>
        </w:rPr>
      </w:pPr>
      <w:r>
        <w:rPr>
          <w:rFonts w:hint="eastAsia"/>
        </w:rPr>
        <w:t>公司自成立以来，伴随发展壮大，结合公司实际，努力为员工提供不同层次个性化需求的支持。</w:t>
      </w:r>
    </w:p>
    <w:p>
      <w:pPr>
        <w:spacing w:line="360" w:lineRule="auto"/>
        <w:jc w:val="center"/>
        <w:rPr>
          <w:rFonts w:ascii="宋体" w:hAnsi="宋体"/>
          <w:b/>
          <w:color w:val="000000"/>
          <w:kern w:val="0"/>
          <w:sz w:val="24"/>
        </w:rPr>
      </w:pPr>
      <w:r>
        <w:rPr>
          <w:rFonts w:hint="eastAsia" w:ascii="宋体" w:hAnsi="宋体"/>
          <w:b/>
          <w:color w:val="000000"/>
          <w:kern w:val="0"/>
          <w:sz w:val="24"/>
        </w:rPr>
        <w:t>图表-8  员工针对性、个性化支持</w:t>
      </w:r>
    </w:p>
    <w:tbl>
      <w:tblPr>
        <w:tblStyle w:val="18"/>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104"/>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shd w:val="clear" w:color="auto" w:fill="FBE4D5"/>
            <w:noWrap w:val="0"/>
            <w:vAlign w:val="top"/>
          </w:tcPr>
          <w:p>
            <w:pPr>
              <w:rPr>
                <w:rFonts w:ascii="宋体" w:hAnsi="宋体"/>
                <w:b/>
                <w:color w:val="000000"/>
                <w:szCs w:val="21"/>
              </w:rPr>
            </w:pPr>
            <w:r>
              <w:rPr>
                <w:rFonts w:hint="eastAsia" w:ascii="宋体" w:hAnsi="宋体"/>
                <w:b/>
                <w:color w:val="000000"/>
                <w:szCs w:val="21"/>
              </w:rPr>
              <w:t>人员类别</w:t>
            </w:r>
          </w:p>
        </w:tc>
        <w:tc>
          <w:tcPr>
            <w:tcW w:w="2104" w:type="dxa"/>
            <w:shd w:val="clear" w:color="auto" w:fill="FBE4D5"/>
            <w:noWrap w:val="0"/>
            <w:vAlign w:val="top"/>
          </w:tcPr>
          <w:p>
            <w:pPr>
              <w:ind w:firstLine="422" w:firstLineChars="200"/>
              <w:rPr>
                <w:rFonts w:ascii="宋体" w:hAnsi="宋体"/>
                <w:b/>
                <w:color w:val="000000"/>
                <w:szCs w:val="21"/>
              </w:rPr>
            </w:pPr>
            <w:r>
              <w:rPr>
                <w:rFonts w:hint="eastAsia" w:ascii="宋体" w:hAnsi="宋体"/>
                <w:b/>
                <w:color w:val="000000"/>
                <w:szCs w:val="21"/>
              </w:rPr>
              <w:t>关键因素</w:t>
            </w:r>
          </w:p>
        </w:tc>
        <w:tc>
          <w:tcPr>
            <w:tcW w:w="5582" w:type="dxa"/>
            <w:shd w:val="clear" w:color="auto" w:fill="FBE4D5"/>
            <w:noWrap w:val="0"/>
            <w:vAlign w:val="top"/>
          </w:tcPr>
          <w:p>
            <w:pPr>
              <w:ind w:firstLine="2003" w:firstLineChars="950"/>
              <w:rPr>
                <w:rFonts w:ascii="宋体" w:hAnsi="宋体"/>
                <w:b/>
                <w:color w:val="000000"/>
                <w:szCs w:val="21"/>
              </w:rPr>
            </w:pPr>
            <w:r>
              <w:rPr>
                <w:rFonts w:hint="eastAsia" w:ascii="宋体" w:hAnsi="宋体"/>
                <w:b/>
                <w:color w:val="000000"/>
                <w:szCs w:val="21"/>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0" w:type="dxa"/>
            <w:vMerge w:val="restart"/>
            <w:noWrap w:val="0"/>
            <w:vAlign w:val="center"/>
          </w:tcPr>
          <w:p>
            <w:pPr>
              <w:rPr>
                <w:rFonts w:ascii="宋体" w:hAnsi="宋体"/>
                <w:color w:val="000000"/>
                <w:szCs w:val="21"/>
              </w:rPr>
            </w:pPr>
            <w:r>
              <w:rPr>
                <w:rFonts w:hint="eastAsia" w:ascii="宋体" w:hAnsi="宋体"/>
                <w:color w:val="000000"/>
                <w:szCs w:val="21"/>
              </w:rPr>
              <w:t>中高级管理人员</w:t>
            </w:r>
          </w:p>
        </w:tc>
        <w:tc>
          <w:tcPr>
            <w:tcW w:w="2104" w:type="dxa"/>
            <w:noWrap w:val="0"/>
            <w:vAlign w:val="center"/>
          </w:tcPr>
          <w:p>
            <w:pPr>
              <w:rPr>
                <w:rFonts w:ascii="宋体" w:hAnsi="宋体"/>
                <w:color w:val="000000"/>
                <w:szCs w:val="21"/>
              </w:rPr>
            </w:pPr>
            <w:r>
              <w:rPr>
                <w:rFonts w:hint="eastAsia" w:ascii="宋体" w:hAnsi="宋体"/>
                <w:color w:val="000000"/>
                <w:szCs w:val="21"/>
              </w:rPr>
              <w:t>事业与家庭的平衡</w:t>
            </w:r>
          </w:p>
        </w:tc>
        <w:tc>
          <w:tcPr>
            <w:tcW w:w="5582" w:type="dxa"/>
            <w:noWrap w:val="0"/>
            <w:vAlign w:val="center"/>
          </w:tcPr>
          <w:p>
            <w:pPr>
              <w:rPr>
                <w:rFonts w:ascii="宋体" w:hAnsi="宋体"/>
                <w:color w:val="000000"/>
                <w:szCs w:val="21"/>
              </w:rPr>
            </w:pPr>
            <w:r>
              <w:rPr>
                <w:rFonts w:hint="eastAsia" w:ascii="宋体" w:hAnsi="宋体"/>
                <w:color w:val="000000"/>
                <w:szCs w:val="21"/>
              </w:rPr>
              <w:t>实施《福利及奖励制度》、《人力资源管理制度》中涉及的节假日带薪休假、婚嫁、产假、护理假及丧假等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薪资福利</w:t>
            </w:r>
          </w:p>
        </w:tc>
        <w:tc>
          <w:tcPr>
            <w:tcW w:w="5582" w:type="dxa"/>
            <w:noWrap w:val="0"/>
            <w:vAlign w:val="center"/>
          </w:tcPr>
          <w:p>
            <w:pPr>
              <w:rPr>
                <w:rFonts w:ascii="宋体" w:hAnsi="宋体"/>
                <w:color w:val="000000"/>
                <w:szCs w:val="21"/>
              </w:rPr>
            </w:pPr>
            <w:r>
              <w:rPr>
                <w:rFonts w:hint="eastAsia" w:ascii="宋体" w:hAnsi="宋体"/>
                <w:color w:val="000000"/>
                <w:szCs w:val="21"/>
              </w:rPr>
              <w:t>三险、年终奖、各类节日福利、交通补贴等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权力与授权</w:t>
            </w:r>
          </w:p>
        </w:tc>
        <w:tc>
          <w:tcPr>
            <w:tcW w:w="5582" w:type="dxa"/>
            <w:noWrap w:val="0"/>
            <w:vAlign w:val="center"/>
          </w:tcPr>
          <w:p>
            <w:pPr>
              <w:rPr>
                <w:rFonts w:ascii="宋体" w:hAnsi="宋体"/>
                <w:color w:val="000000"/>
                <w:szCs w:val="21"/>
              </w:rPr>
            </w:pPr>
            <w:r>
              <w:rPr>
                <w:rFonts w:hint="eastAsia" w:ascii="宋体" w:hAnsi="宋体"/>
                <w:color w:val="000000"/>
                <w:szCs w:val="21"/>
              </w:rPr>
              <w:t>明确岗位权责、规划权力分配、合理授权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270" w:type="dxa"/>
            <w:vMerge w:val="restart"/>
            <w:noWrap w:val="0"/>
            <w:vAlign w:val="center"/>
          </w:tcPr>
          <w:p>
            <w:pPr>
              <w:rPr>
                <w:rFonts w:ascii="宋体" w:hAnsi="宋体"/>
                <w:color w:val="000000"/>
                <w:szCs w:val="21"/>
              </w:rPr>
            </w:pPr>
            <w:r>
              <w:rPr>
                <w:rFonts w:hint="eastAsia" w:ascii="宋体" w:hAnsi="宋体"/>
                <w:color w:val="000000"/>
                <w:szCs w:val="21"/>
              </w:rPr>
              <w:t>一般管理、技术人员</w:t>
            </w:r>
          </w:p>
        </w:tc>
        <w:tc>
          <w:tcPr>
            <w:tcW w:w="2104" w:type="dxa"/>
            <w:noWrap w:val="0"/>
            <w:vAlign w:val="center"/>
          </w:tcPr>
          <w:p>
            <w:pPr>
              <w:rPr>
                <w:rFonts w:ascii="宋体" w:hAnsi="宋体"/>
                <w:color w:val="000000"/>
                <w:szCs w:val="21"/>
              </w:rPr>
            </w:pPr>
            <w:r>
              <w:rPr>
                <w:rFonts w:hint="eastAsia" w:ascii="宋体" w:hAnsi="宋体"/>
                <w:color w:val="000000"/>
                <w:szCs w:val="21"/>
              </w:rPr>
              <w:t>薪资吸引力</w:t>
            </w:r>
          </w:p>
        </w:tc>
        <w:tc>
          <w:tcPr>
            <w:tcW w:w="5582" w:type="dxa"/>
            <w:noWrap w:val="0"/>
            <w:vAlign w:val="center"/>
          </w:tcPr>
          <w:p>
            <w:pPr>
              <w:rPr>
                <w:rFonts w:ascii="宋体" w:hAnsi="宋体"/>
                <w:color w:val="000000"/>
                <w:szCs w:val="21"/>
              </w:rPr>
            </w:pPr>
            <w:r>
              <w:rPr>
                <w:rFonts w:hint="eastAsia" w:ascii="宋体" w:hAnsi="宋体"/>
                <w:color w:val="000000"/>
                <w:szCs w:val="21"/>
              </w:rPr>
              <w:t>实行市场领先型的薪酬策略，薪酬与绩效挂钩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福利</w:t>
            </w:r>
          </w:p>
        </w:tc>
        <w:tc>
          <w:tcPr>
            <w:tcW w:w="5582" w:type="dxa"/>
            <w:noWrap w:val="0"/>
            <w:vAlign w:val="center"/>
          </w:tcPr>
          <w:p>
            <w:pPr>
              <w:rPr>
                <w:rFonts w:ascii="宋体" w:hAnsi="宋体"/>
                <w:color w:val="000000"/>
                <w:szCs w:val="21"/>
              </w:rPr>
            </w:pPr>
            <w:r>
              <w:rPr>
                <w:rFonts w:hint="eastAsia" w:ascii="宋体" w:hAnsi="宋体"/>
                <w:color w:val="000000"/>
                <w:szCs w:val="21"/>
              </w:rPr>
              <w:t>单休、五险一金、年终奖、技术（岗位）津贴、高温补贴、各类节日福利等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职业发展和晋升</w:t>
            </w:r>
          </w:p>
        </w:tc>
        <w:tc>
          <w:tcPr>
            <w:tcW w:w="5582" w:type="dxa"/>
            <w:noWrap w:val="0"/>
            <w:vAlign w:val="center"/>
          </w:tcPr>
          <w:p>
            <w:pPr>
              <w:rPr>
                <w:rFonts w:ascii="宋体" w:hAnsi="宋体"/>
                <w:color w:val="000000"/>
                <w:szCs w:val="21"/>
              </w:rPr>
            </w:pPr>
            <w:r>
              <w:rPr>
                <w:rFonts w:hint="eastAsia" w:ascii="宋体" w:hAnsi="宋体"/>
                <w:color w:val="000000"/>
                <w:szCs w:val="21"/>
              </w:rPr>
              <w:t>多渠道培养管理、技术人员，提供晋升空间与机会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0" w:type="dxa"/>
            <w:vMerge w:val="continue"/>
            <w:noWrap w:val="0"/>
            <w:vAlign w:val="center"/>
          </w:tcPr>
          <w:p>
            <w:pPr>
              <w:spacing w:line="360" w:lineRule="auto"/>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事业与家庭的平衡</w:t>
            </w:r>
          </w:p>
        </w:tc>
        <w:tc>
          <w:tcPr>
            <w:tcW w:w="5582" w:type="dxa"/>
            <w:noWrap w:val="0"/>
            <w:vAlign w:val="center"/>
          </w:tcPr>
          <w:p>
            <w:pPr>
              <w:rPr>
                <w:rFonts w:ascii="宋体" w:hAnsi="宋体"/>
                <w:color w:val="000000"/>
                <w:szCs w:val="21"/>
              </w:rPr>
            </w:pPr>
            <w:r>
              <w:rPr>
                <w:rFonts w:hint="eastAsia" w:ascii="宋体" w:hAnsi="宋体"/>
                <w:color w:val="000000"/>
                <w:szCs w:val="21"/>
              </w:rPr>
              <w:t>实施《人力资源管理制度》中涉及的婚嫁、产假、丧假等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70" w:type="dxa"/>
            <w:vMerge w:val="restart"/>
            <w:noWrap w:val="0"/>
            <w:vAlign w:val="center"/>
          </w:tcPr>
          <w:p>
            <w:pPr>
              <w:rPr>
                <w:rFonts w:ascii="宋体" w:hAnsi="宋体"/>
                <w:color w:val="000000"/>
                <w:szCs w:val="21"/>
              </w:rPr>
            </w:pPr>
            <w:r>
              <w:rPr>
                <w:rFonts w:hint="eastAsia" w:ascii="宋体" w:hAnsi="宋体"/>
                <w:color w:val="000000"/>
                <w:szCs w:val="21"/>
              </w:rPr>
              <w:t>一线生产人员</w:t>
            </w:r>
          </w:p>
        </w:tc>
        <w:tc>
          <w:tcPr>
            <w:tcW w:w="2104" w:type="dxa"/>
            <w:noWrap w:val="0"/>
            <w:vAlign w:val="center"/>
          </w:tcPr>
          <w:p>
            <w:pPr>
              <w:rPr>
                <w:rFonts w:ascii="宋体" w:hAnsi="宋体"/>
                <w:color w:val="000000"/>
                <w:szCs w:val="21"/>
              </w:rPr>
            </w:pPr>
            <w:r>
              <w:rPr>
                <w:rFonts w:hint="eastAsia" w:ascii="宋体" w:hAnsi="宋体"/>
                <w:color w:val="000000"/>
                <w:szCs w:val="21"/>
              </w:rPr>
              <w:t>劳动强度</w:t>
            </w:r>
          </w:p>
        </w:tc>
        <w:tc>
          <w:tcPr>
            <w:tcW w:w="5582" w:type="dxa"/>
            <w:noWrap w:val="0"/>
            <w:vAlign w:val="center"/>
          </w:tcPr>
          <w:p>
            <w:pPr>
              <w:rPr>
                <w:rFonts w:ascii="宋体" w:hAnsi="宋体"/>
                <w:color w:val="000000"/>
                <w:szCs w:val="21"/>
              </w:rPr>
            </w:pPr>
            <w:r>
              <w:rPr>
                <w:rFonts w:hint="eastAsia" w:ascii="宋体" w:hAnsi="宋体"/>
                <w:color w:val="000000"/>
                <w:szCs w:val="21"/>
              </w:rPr>
              <w:t>引进新技术、设备，进行自动化技术改造，降低工作强度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70" w:type="dxa"/>
            <w:vMerge w:val="continue"/>
            <w:noWrap w:val="0"/>
            <w:vAlign w:val="top"/>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薪资吸引力</w:t>
            </w:r>
          </w:p>
        </w:tc>
        <w:tc>
          <w:tcPr>
            <w:tcW w:w="5582" w:type="dxa"/>
            <w:noWrap w:val="0"/>
            <w:vAlign w:val="center"/>
          </w:tcPr>
          <w:p>
            <w:pPr>
              <w:rPr>
                <w:rFonts w:ascii="宋体" w:hAnsi="宋体"/>
                <w:color w:val="000000"/>
                <w:szCs w:val="21"/>
              </w:rPr>
            </w:pPr>
            <w:r>
              <w:rPr>
                <w:rFonts w:hint="eastAsia" w:ascii="宋体" w:hAnsi="宋体"/>
                <w:color w:val="000000"/>
                <w:szCs w:val="21"/>
              </w:rPr>
              <w:t>实行区域与行业的市场领先型薪酬策略，薪酬与绩效挂钩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0" w:type="dxa"/>
            <w:vMerge w:val="continue"/>
            <w:noWrap w:val="0"/>
            <w:vAlign w:val="top"/>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福利</w:t>
            </w:r>
          </w:p>
        </w:tc>
        <w:tc>
          <w:tcPr>
            <w:tcW w:w="5582" w:type="dxa"/>
            <w:noWrap w:val="0"/>
            <w:vAlign w:val="center"/>
          </w:tcPr>
          <w:p>
            <w:pPr>
              <w:rPr>
                <w:rFonts w:ascii="宋体" w:hAnsi="宋体"/>
                <w:color w:val="000000"/>
                <w:szCs w:val="21"/>
              </w:rPr>
            </w:pPr>
            <w:r>
              <w:rPr>
                <w:rFonts w:hint="eastAsia" w:ascii="宋体" w:hAnsi="宋体"/>
                <w:color w:val="000000"/>
                <w:szCs w:val="21"/>
              </w:rPr>
              <w:t>单休、五险、年终奖、技术（岗位）津贴、高温补贴、各类节日福利等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70" w:type="dxa"/>
            <w:vMerge w:val="continue"/>
            <w:noWrap w:val="0"/>
            <w:vAlign w:val="top"/>
          </w:tcPr>
          <w:p>
            <w:pPr>
              <w:spacing w:line="360" w:lineRule="auto"/>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工作环境</w:t>
            </w:r>
          </w:p>
        </w:tc>
        <w:tc>
          <w:tcPr>
            <w:tcW w:w="5582" w:type="dxa"/>
            <w:noWrap w:val="0"/>
            <w:vAlign w:val="center"/>
          </w:tcPr>
          <w:p>
            <w:pPr>
              <w:rPr>
                <w:rFonts w:ascii="宋体" w:hAnsi="宋体"/>
                <w:color w:val="000000"/>
                <w:szCs w:val="21"/>
              </w:rPr>
            </w:pPr>
            <w:r>
              <w:rPr>
                <w:rFonts w:hint="eastAsia" w:ascii="宋体" w:hAnsi="宋体"/>
                <w:color w:val="000000"/>
                <w:szCs w:val="21"/>
              </w:rPr>
              <w:t>干净整洁的工作场所，发放工作服、劳动保护品等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270" w:type="dxa"/>
            <w:vMerge w:val="continue"/>
            <w:noWrap w:val="0"/>
            <w:vAlign w:val="top"/>
          </w:tcPr>
          <w:p>
            <w:pPr>
              <w:spacing w:line="360" w:lineRule="auto"/>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学习与成长</w:t>
            </w:r>
          </w:p>
        </w:tc>
        <w:tc>
          <w:tcPr>
            <w:tcW w:w="5582" w:type="dxa"/>
            <w:noWrap w:val="0"/>
            <w:vAlign w:val="center"/>
          </w:tcPr>
          <w:p>
            <w:pPr>
              <w:rPr>
                <w:rFonts w:ascii="宋体" w:hAnsi="宋体"/>
                <w:color w:val="000000"/>
                <w:szCs w:val="21"/>
              </w:rPr>
            </w:pPr>
            <w:r>
              <w:rPr>
                <w:rFonts w:hint="eastAsia" w:ascii="宋体" w:hAnsi="宋体"/>
                <w:color w:val="000000"/>
                <w:szCs w:val="21"/>
              </w:rPr>
              <w:t>师傅带徒弟、职业带头人、技能岗位工种培训</w:t>
            </w:r>
          </w:p>
        </w:tc>
      </w:tr>
    </w:tbl>
    <w:p>
      <w:pPr>
        <w:pStyle w:val="15"/>
        <w:shd w:val="clear" w:color="auto" w:fill="FFFFFF"/>
        <w:spacing w:beforeAutospacing="0" w:afterAutospacing="0" w:line="360" w:lineRule="auto"/>
        <w:ind w:right="325" w:rightChars="155" w:firstLine="240" w:firstLineChars="100"/>
        <w:textAlignment w:val="baseline"/>
        <w:rPr>
          <w:rFonts w:hint="eastAsia" w:cs="Arial"/>
          <w:bCs/>
          <w:kern w:val="2"/>
        </w:rPr>
      </w:pPr>
      <w:r>
        <w:rPr>
          <w:rFonts w:hint="eastAsia" w:cs="Arial"/>
          <w:bCs/>
          <w:kern w:val="2"/>
        </w:rPr>
        <w:t>为给员工营造主动参与的氛围，鼓励员工积极参与群众性质量管理活动，包括：</w:t>
      </w:r>
    </w:p>
    <w:p>
      <w:pPr>
        <w:spacing w:line="360" w:lineRule="auto"/>
        <w:ind w:firstLine="482" w:firstLineChars="200"/>
        <w:jc w:val="left"/>
        <w:rPr>
          <w:rFonts w:ascii="宋体" w:hAnsi="宋体"/>
          <w:b/>
          <w:color w:val="000000"/>
          <w:sz w:val="24"/>
        </w:rPr>
      </w:pPr>
      <w:r>
        <w:rPr>
          <w:rFonts w:hint="eastAsia" w:ascii="宋体" w:hAnsi="宋体"/>
          <w:b/>
          <w:color w:val="000000"/>
          <w:sz w:val="24"/>
        </w:rPr>
        <w:t>① 现场5S管理</w:t>
      </w:r>
    </w:p>
    <w:p>
      <w:pPr>
        <w:spacing w:line="360" w:lineRule="auto"/>
        <w:ind w:firstLine="480" w:firstLineChars="200"/>
        <w:jc w:val="left"/>
        <w:rPr>
          <w:rFonts w:ascii="宋体" w:hAnsi="宋体"/>
          <w:color w:val="000000"/>
          <w:sz w:val="24"/>
        </w:rPr>
      </w:pPr>
      <w:r>
        <w:rPr>
          <w:rFonts w:hint="eastAsia" w:ascii="宋体" w:hAnsi="宋体"/>
          <w:color w:val="000000"/>
          <w:sz w:val="24"/>
        </w:rPr>
        <w:t>公司推行5S管理，制定5S作业标准，组织自查与互查并曝光、实施奖惩，使得公司整体面貌尤其是各车间面貌发生巨大变化，员工素质得到提升。</w:t>
      </w:r>
    </w:p>
    <w:p>
      <w:pPr>
        <w:spacing w:line="360" w:lineRule="auto"/>
        <w:ind w:firstLine="482" w:firstLineChars="200"/>
        <w:jc w:val="left"/>
        <w:rPr>
          <w:rFonts w:ascii="宋体" w:hAnsi="宋体"/>
          <w:color w:val="000000"/>
          <w:sz w:val="24"/>
        </w:rPr>
      </w:pPr>
      <w:r>
        <w:rPr>
          <w:rFonts w:hint="eastAsia" w:ascii="宋体" w:hAnsi="宋体"/>
          <w:b/>
          <w:color w:val="000000"/>
          <w:sz w:val="24"/>
        </w:rPr>
        <w:t>② 通过信息反馈形式多渠道收集落实合理化建议</w:t>
      </w:r>
    </w:p>
    <w:p>
      <w:pPr>
        <w:spacing w:line="360" w:lineRule="auto"/>
        <w:ind w:firstLine="480" w:firstLineChars="200"/>
        <w:jc w:val="left"/>
        <w:rPr>
          <w:rFonts w:ascii="宋体" w:hAnsi="宋体"/>
          <w:color w:val="000000"/>
          <w:sz w:val="24"/>
        </w:rPr>
      </w:pPr>
      <w:r>
        <w:rPr>
          <w:rFonts w:hint="eastAsia" w:ascii="宋体" w:hAnsi="宋体"/>
          <w:color w:val="000000"/>
          <w:sz w:val="24"/>
        </w:rPr>
        <w:t>公司设有</w:t>
      </w:r>
      <w:r>
        <w:rPr>
          <w:rFonts w:hint="eastAsia" w:ascii="宋体" w:hAnsi="宋体"/>
          <w:color w:val="000000"/>
          <w:sz w:val="24"/>
          <w:lang w:eastAsia="zh-CN"/>
        </w:rPr>
        <w:t>企业</w:t>
      </w:r>
      <w:r>
        <w:rPr>
          <w:rFonts w:hint="eastAsia" w:ascii="宋体" w:hAnsi="宋体"/>
          <w:color w:val="000000"/>
          <w:sz w:val="24"/>
        </w:rPr>
        <w:t>邮箱和其他信息反馈渠道，对反馈信息（建议）的员工进行奖励。组织员工踊跃参加，对合理化建议进行评选，对采纳的建议予以奖励。</w:t>
      </w:r>
    </w:p>
    <w:p>
      <w:pPr>
        <w:spacing w:line="360" w:lineRule="auto"/>
        <w:ind w:firstLine="420"/>
        <w:jc w:val="left"/>
        <w:textAlignment w:val="baseline"/>
        <w:rPr>
          <w:rFonts w:ascii="宋体" w:hAnsi="宋体"/>
          <w:b/>
          <w:color w:val="000000"/>
          <w:sz w:val="24"/>
        </w:rPr>
      </w:pPr>
      <w:r>
        <w:rPr>
          <w:rFonts w:hint="eastAsia" w:ascii="宋体" w:hAnsi="宋体"/>
          <w:b/>
          <w:color w:val="000000"/>
          <w:sz w:val="24"/>
        </w:rPr>
        <w:t>③  开展岗位及</w:t>
      </w:r>
      <w:r>
        <w:rPr>
          <w:rFonts w:ascii="宋体" w:hAnsi="宋体"/>
          <w:b/>
          <w:color w:val="000000"/>
          <w:sz w:val="24"/>
        </w:rPr>
        <w:t>团队</w:t>
      </w:r>
      <w:r>
        <w:rPr>
          <w:rFonts w:hint="eastAsia" w:ascii="宋体" w:hAnsi="宋体"/>
          <w:b/>
          <w:color w:val="000000"/>
          <w:sz w:val="24"/>
        </w:rPr>
        <w:t>提升活动，改进各项工作</w:t>
      </w:r>
    </w:p>
    <w:p>
      <w:pPr>
        <w:spacing w:line="360" w:lineRule="auto"/>
        <w:ind w:firstLine="420"/>
        <w:jc w:val="left"/>
        <w:textAlignment w:val="baseline"/>
        <w:rPr>
          <w:rFonts w:hint="eastAsia" w:ascii="宋体" w:hAnsi="宋体"/>
          <w:b/>
          <w:color w:val="000000"/>
          <w:sz w:val="24"/>
        </w:rPr>
      </w:pPr>
      <w:r>
        <w:rPr>
          <w:rFonts w:hint="eastAsia" w:ascii="宋体" w:hAnsi="宋体"/>
          <w:color w:val="000000"/>
          <w:sz w:val="24"/>
        </w:rPr>
        <w:t>公司以攻坚克难、问题改善入手，鼓励员工在本职工作中不断发现改进的空间，员工从工艺、质量、现场管理、</w:t>
      </w:r>
      <w:r>
        <w:rPr>
          <w:rFonts w:ascii="宋体" w:hAnsi="宋体"/>
          <w:color w:val="000000"/>
          <w:sz w:val="24"/>
        </w:rPr>
        <w:t>供应链</w:t>
      </w:r>
      <w:r>
        <w:rPr>
          <w:rFonts w:hint="eastAsia" w:ascii="宋体" w:hAnsi="宋体"/>
          <w:color w:val="000000"/>
          <w:sz w:val="24"/>
        </w:rPr>
        <w:t>等方面对公司产品的质量稳定性、成本下降、技术提升等方面做了大量工作，公司为鼓励改进，将改进成果给予奖励。公司</w:t>
      </w:r>
      <w:r>
        <w:rPr>
          <w:rFonts w:ascii="宋体" w:hAnsi="宋体"/>
          <w:color w:val="000000"/>
          <w:sz w:val="24"/>
        </w:rPr>
        <w:t>年</w:t>
      </w:r>
      <w:r>
        <w:rPr>
          <w:rFonts w:hint="eastAsia" w:ascii="宋体" w:hAnsi="宋体"/>
          <w:color w:val="000000"/>
          <w:sz w:val="24"/>
        </w:rPr>
        <w:t>终组织</w:t>
      </w:r>
      <w:r>
        <w:rPr>
          <w:rFonts w:ascii="宋体" w:hAnsi="宋体"/>
          <w:color w:val="000000"/>
          <w:sz w:val="24"/>
        </w:rPr>
        <w:t>评</w:t>
      </w:r>
      <w:r>
        <w:rPr>
          <w:rFonts w:hint="eastAsia" w:ascii="宋体" w:hAnsi="宋体"/>
          <w:color w:val="000000"/>
          <w:sz w:val="24"/>
        </w:rPr>
        <w:t>选</w:t>
      </w:r>
      <w:r>
        <w:rPr>
          <w:rFonts w:ascii="宋体" w:hAnsi="宋体"/>
          <w:color w:val="000000"/>
          <w:sz w:val="24"/>
        </w:rPr>
        <w:t>优秀个人</w:t>
      </w:r>
      <w:r>
        <w:rPr>
          <w:rFonts w:hint="eastAsia" w:ascii="宋体" w:hAnsi="宋体"/>
          <w:color w:val="000000"/>
          <w:sz w:val="24"/>
        </w:rPr>
        <w:t>，</w:t>
      </w:r>
      <w:r>
        <w:rPr>
          <w:rFonts w:ascii="宋体" w:hAnsi="宋体"/>
          <w:color w:val="000000"/>
          <w:sz w:val="24"/>
        </w:rPr>
        <w:t>并在公司</w:t>
      </w:r>
      <w:r>
        <w:rPr>
          <w:rFonts w:hint="eastAsia" w:ascii="宋体" w:hAnsi="宋体"/>
          <w:color w:val="000000"/>
          <w:sz w:val="24"/>
          <w:lang w:eastAsia="zh-CN"/>
        </w:rPr>
        <w:t>2023</w:t>
      </w:r>
      <w:r>
        <w:rPr>
          <w:rFonts w:ascii="宋体" w:hAnsi="宋体"/>
          <w:color w:val="000000"/>
          <w:sz w:val="24"/>
        </w:rPr>
        <w:t>年</w:t>
      </w:r>
      <w:r>
        <w:rPr>
          <w:rFonts w:hint="eastAsia" w:ascii="宋体" w:hAnsi="宋体"/>
          <w:color w:val="000000"/>
          <w:sz w:val="24"/>
        </w:rPr>
        <w:t>年</w:t>
      </w:r>
      <w:r>
        <w:rPr>
          <w:rFonts w:ascii="宋体" w:hAnsi="宋体"/>
          <w:color w:val="000000"/>
          <w:sz w:val="24"/>
        </w:rPr>
        <w:t>会上</w:t>
      </w:r>
      <w:r>
        <w:rPr>
          <w:rFonts w:hint="eastAsia" w:ascii="宋体" w:hAnsi="宋体"/>
          <w:color w:val="000000"/>
          <w:sz w:val="24"/>
        </w:rPr>
        <w:t>进行</w:t>
      </w:r>
      <w:r>
        <w:rPr>
          <w:rFonts w:ascii="宋体" w:hAnsi="宋体"/>
          <w:color w:val="000000"/>
          <w:sz w:val="24"/>
        </w:rPr>
        <w:t>表彰</w:t>
      </w:r>
      <w:r>
        <w:rPr>
          <w:rFonts w:hint="eastAsia" w:ascii="宋体" w:hAnsi="宋体"/>
          <w:color w:val="000000"/>
          <w:sz w:val="24"/>
        </w:rPr>
        <w:t>。</w:t>
      </w:r>
    </w:p>
    <w:p>
      <w:pPr>
        <w:spacing w:line="360" w:lineRule="auto"/>
        <w:ind w:firstLine="480" w:firstLineChars="200"/>
        <w:rPr>
          <w:rFonts w:hint="eastAsia" w:ascii="宋体" w:hAnsi="宋体"/>
          <w:sz w:val="24"/>
        </w:rPr>
      </w:pPr>
      <w:r>
        <w:rPr>
          <w:rFonts w:hint="eastAsia" w:ascii="宋体" w:hAnsi="宋体"/>
          <w:sz w:val="24"/>
        </w:rPr>
        <w:t>公司对影响员工权益、满意度和积极性的关键因素主要通过员工满意度调查等活动来识别，通过沟通、归纳，总结出相关影响因素，并有针对性地提出改善措施。</w:t>
      </w:r>
    </w:p>
    <w:p>
      <w:pPr>
        <w:spacing w:line="360" w:lineRule="auto"/>
        <w:jc w:val="center"/>
        <w:rPr>
          <w:rFonts w:hint="eastAsia" w:ascii="宋体" w:hAnsi="宋体"/>
          <w:b/>
          <w:sz w:val="24"/>
        </w:rPr>
      </w:pPr>
      <w:r>
        <w:rPr>
          <w:rFonts w:hint="eastAsia" w:ascii="宋体" w:hAnsi="宋体"/>
          <w:b/>
          <w:sz w:val="24"/>
        </w:rPr>
        <w:t>图表-9  员工权益及满意度关键影响因素和改善措施</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01"/>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bottom w:val="single" w:color="auto" w:sz="4" w:space="0"/>
            </w:tcBorders>
            <w:shd w:val="clear" w:color="auto" w:fill="FBE4D5"/>
            <w:noWrap w:val="0"/>
            <w:vAlign w:val="top"/>
          </w:tcPr>
          <w:p>
            <w:pPr>
              <w:spacing w:line="360" w:lineRule="auto"/>
              <w:jc w:val="center"/>
              <w:rPr>
                <w:rFonts w:hint="eastAsia" w:ascii="宋体" w:hAnsi="宋体"/>
                <w:b/>
                <w:bCs/>
                <w:szCs w:val="21"/>
              </w:rPr>
            </w:pPr>
            <w:r>
              <w:rPr>
                <w:rFonts w:hint="eastAsia" w:ascii="宋体" w:hAnsi="宋体"/>
                <w:b/>
                <w:bCs/>
                <w:szCs w:val="21"/>
              </w:rPr>
              <w:t>员工层级</w:t>
            </w:r>
          </w:p>
        </w:tc>
        <w:tc>
          <w:tcPr>
            <w:tcW w:w="1701" w:type="dxa"/>
            <w:shd w:val="clear" w:color="auto" w:fill="FBE4D5"/>
            <w:noWrap w:val="0"/>
            <w:vAlign w:val="top"/>
          </w:tcPr>
          <w:p>
            <w:pPr>
              <w:spacing w:line="360" w:lineRule="auto"/>
              <w:jc w:val="center"/>
              <w:rPr>
                <w:rFonts w:hint="eastAsia" w:ascii="宋体" w:hAnsi="宋体"/>
                <w:b/>
                <w:bCs/>
                <w:szCs w:val="21"/>
              </w:rPr>
            </w:pPr>
            <w:r>
              <w:rPr>
                <w:rFonts w:hint="eastAsia" w:ascii="宋体" w:hAnsi="宋体"/>
                <w:b/>
                <w:bCs/>
                <w:szCs w:val="21"/>
              </w:rPr>
              <w:t>关键影响因素</w:t>
            </w:r>
          </w:p>
        </w:tc>
        <w:tc>
          <w:tcPr>
            <w:tcW w:w="5416" w:type="dxa"/>
            <w:shd w:val="clear" w:color="auto" w:fill="FBE4D5"/>
            <w:noWrap w:val="0"/>
            <w:vAlign w:val="top"/>
          </w:tcPr>
          <w:p>
            <w:pPr>
              <w:spacing w:line="360" w:lineRule="auto"/>
              <w:jc w:val="center"/>
              <w:rPr>
                <w:rFonts w:hint="eastAsia" w:ascii="宋体" w:hAnsi="宋体"/>
                <w:b/>
                <w:bCs/>
                <w:szCs w:val="21"/>
              </w:rPr>
            </w:pPr>
            <w:r>
              <w:rPr>
                <w:rFonts w:hint="eastAsia" w:ascii="宋体" w:hAnsi="宋体"/>
                <w:b/>
                <w:bCs/>
                <w:szCs w:val="21"/>
              </w:rPr>
              <w:t>改善措施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FFFFFF"/>
            <w:noWrap w:val="0"/>
            <w:vAlign w:val="top"/>
          </w:tcPr>
          <w:p>
            <w:pPr>
              <w:rPr>
                <w:rFonts w:hint="eastAsia" w:ascii="宋体" w:hAnsi="宋体"/>
                <w:szCs w:val="21"/>
              </w:rPr>
            </w:pPr>
            <w:r>
              <w:rPr>
                <w:rFonts w:hint="eastAsia" w:ascii="宋体" w:hAnsi="宋体"/>
                <w:szCs w:val="21"/>
              </w:rPr>
              <w:t>基层一线员工</w:t>
            </w:r>
          </w:p>
        </w:tc>
        <w:tc>
          <w:tcPr>
            <w:tcW w:w="1701" w:type="dxa"/>
            <w:noWrap w:val="0"/>
            <w:vAlign w:val="top"/>
          </w:tcPr>
          <w:p>
            <w:pPr>
              <w:rPr>
                <w:rFonts w:hint="eastAsia" w:ascii="宋体" w:hAnsi="宋体"/>
                <w:szCs w:val="21"/>
              </w:rPr>
            </w:pPr>
            <w:r>
              <w:rPr>
                <w:rFonts w:hint="eastAsia" w:ascii="宋体" w:hAnsi="宋体"/>
                <w:szCs w:val="21"/>
              </w:rPr>
              <w:t>工资、福利、工作时间、工作环境、生活配套设施</w:t>
            </w:r>
          </w:p>
        </w:tc>
        <w:tc>
          <w:tcPr>
            <w:tcW w:w="5416" w:type="dxa"/>
            <w:noWrap w:val="0"/>
            <w:vAlign w:val="top"/>
          </w:tcPr>
          <w:p>
            <w:pPr>
              <w:rPr>
                <w:rFonts w:hint="eastAsia" w:ascii="宋体" w:hAnsi="宋体"/>
                <w:szCs w:val="21"/>
              </w:rPr>
            </w:pPr>
            <w:r>
              <w:rPr>
                <w:rFonts w:hint="eastAsia" w:ascii="宋体" w:hAnsi="宋体"/>
                <w:szCs w:val="21"/>
              </w:rPr>
              <w:t>1、保证员工工资逐年增长</w:t>
            </w:r>
          </w:p>
          <w:p>
            <w:pPr>
              <w:rPr>
                <w:rFonts w:hint="eastAsia" w:ascii="宋体" w:hAnsi="宋体"/>
                <w:szCs w:val="21"/>
              </w:rPr>
            </w:pPr>
            <w:r>
              <w:rPr>
                <w:rFonts w:hint="eastAsia" w:ascii="宋体" w:hAnsi="宋体"/>
                <w:szCs w:val="21"/>
              </w:rPr>
              <w:t>2、工作时间按国家法律法规实施综合工时制、节假日带薪制度。</w:t>
            </w:r>
          </w:p>
          <w:p>
            <w:pPr>
              <w:rPr>
                <w:rFonts w:hint="eastAsia" w:ascii="宋体" w:hAnsi="宋体"/>
                <w:szCs w:val="21"/>
              </w:rPr>
            </w:pPr>
            <w:r>
              <w:rPr>
                <w:rFonts w:hint="eastAsia" w:ascii="宋体" w:hAnsi="宋体"/>
                <w:szCs w:val="21"/>
              </w:rPr>
              <w:t>3、开展民主调查，及时了解基层管理人员不合理的管理方式，并责令改正</w:t>
            </w:r>
          </w:p>
          <w:p>
            <w:pPr>
              <w:rPr>
                <w:rFonts w:hint="eastAsia" w:ascii="宋体" w:hAnsi="宋体"/>
                <w:szCs w:val="21"/>
              </w:rPr>
            </w:pPr>
            <w:r>
              <w:rPr>
                <w:rFonts w:hint="eastAsia" w:ascii="宋体" w:hAnsi="宋体"/>
                <w:szCs w:val="21"/>
              </w:rPr>
              <w:t>4、识别危险源，改善工作环境。</w:t>
            </w:r>
          </w:p>
          <w:p>
            <w:pPr>
              <w:rPr>
                <w:rFonts w:hint="eastAsia" w:ascii="宋体" w:hAnsi="宋体"/>
                <w:szCs w:val="21"/>
              </w:rPr>
            </w:pPr>
            <w:r>
              <w:rPr>
                <w:rFonts w:hint="eastAsia" w:ascii="宋体" w:hAnsi="宋体"/>
                <w:szCs w:val="21"/>
              </w:rPr>
              <w:t>5、维护员工权益，及时反馈员工意见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FFFFFF"/>
            <w:noWrap w:val="0"/>
            <w:vAlign w:val="top"/>
          </w:tcPr>
          <w:p>
            <w:pPr>
              <w:rPr>
                <w:rFonts w:hint="eastAsia" w:ascii="宋体" w:hAnsi="宋体"/>
                <w:szCs w:val="21"/>
              </w:rPr>
            </w:pPr>
            <w:r>
              <w:rPr>
                <w:rFonts w:hint="eastAsia" w:ascii="宋体" w:hAnsi="宋体"/>
                <w:szCs w:val="21"/>
              </w:rPr>
              <w:t>管理人员、技术人员及高管</w:t>
            </w:r>
          </w:p>
        </w:tc>
        <w:tc>
          <w:tcPr>
            <w:tcW w:w="1701" w:type="dxa"/>
            <w:noWrap w:val="0"/>
            <w:vAlign w:val="top"/>
          </w:tcPr>
          <w:p>
            <w:pPr>
              <w:rPr>
                <w:rFonts w:hint="eastAsia" w:ascii="宋体" w:hAnsi="宋体"/>
                <w:szCs w:val="21"/>
              </w:rPr>
            </w:pPr>
            <w:r>
              <w:rPr>
                <w:rFonts w:hint="eastAsia" w:ascii="宋体" w:hAnsi="宋体"/>
                <w:szCs w:val="21"/>
              </w:rPr>
              <w:t>薪资福利、工作环境、激励机制、发展机会</w:t>
            </w:r>
          </w:p>
        </w:tc>
        <w:tc>
          <w:tcPr>
            <w:tcW w:w="5416" w:type="dxa"/>
            <w:noWrap w:val="0"/>
            <w:vAlign w:val="top"/>
          </w:tcPr>
          <w:p>
            <w:pPr>
              <w:numPr>
                <w:ilvl w:val="0"/>
                <w:numId w:val="5"/>
              </w:numPr>
              <w:rPr>
                <w:rFonts w:hint="eastAsia" w:ascii="宋体" w:hAnsi="宋体"/>
                <w:szCs w:val="21"/>
              </w:rPr>
            </w:pPr>
            <w:r>
              <w:rPr>
                <w:rFonts w:hint="eastAsia" w:ascii="宋体" w:hAnsi="宋体"/>
                <w:szCs w:val="21"/>
              </w:rPr>
              <w:t>参与企业发展规划制定，实行超目标利润激励，使企业利益与员工利益挂钩</w:t>
            </w:r>
          </w:p>
          <w:p>
            <w:pPr>
              <w:numPr>
                <w:ilvl w:val="0"/>
                <w:numId w:val="5"/>
              </w:numPr>
              <w:rPr>
                <w:rFonts w:hint="eastAsia" w:ascii="宋体" w:hAnsi="宋体"/>
                <w:szCs w:val="21"/>
              </w:rPr>
            </w:pPr>
            <w:r>
              <w:rPr>
                <w:rFonts w:hint="eastAsia" w:ascii="宋体" w:hAnsi="宋体"/>
                <w:szCs w:val="21"/>
              </w:rPr>
              <w:t>广泛识别员工的个性发展需求，合理提供培训、深造机会，营造知识共享氛围，鼓励员工通过竞聘等方式展现自我才能</w:t>
            </w:r>
          </w:p>
          <w:p>
            <w:pPr>
              <w:numPr>
                <w:ilvl w:val="0"/>
                <w:numId w:val="5"/>
              </w:numPr>
              <w:rPr>
                <w:rFonts w:hint="eastAsia" w:ascii="宋体" w:hAnsi="宋体"/>
                <w:szCs w:val="21"/>
              </w:rPr>
            </w:pPr>
            <w:r>
              <w:rPr>
                <w:rFonts w:hint="eastAsia" w:ascii="宋体" w:hAnsi="宋体"/>
                <w:szCs w:val="21"/>
              </w:rPr>
              <w:t>实行颇具竞争性的年度奖金激励政策，分配机制向绩效突出的管理人员和技术人员倾斜，每年向周边企业及同行业做薪资调研，合理规划激励性收入。</w:t>
            </w:r>
          </w:p>
        </w:tc>
      </w:tr>
    </w:tbl>
    <w:p>
      <w:pPr>
        <w:spacing w:line="360" w:lineRule="auto"/>
        <w:ind w:firstLine="480" w:firstLineChars="200"/>
        <w:rPr>
          <w:rFonts w:hint="eastAsia" w:ascii="宋体" w:hAnsi="宋体"/>
          <w:sz w:val="24"/>
        </w:rPr>
      </w:pPr>
      <w:r>
        <w:rPr>
          <w:rFonts w:hint="eastAsia" w:ascii="宋体" w:hAnsi="宋体"/>
          <w:sz w:val="24"/>
        </w:rPr>
        <w:t>以全体在职员工作为调研对象，问卷采取匿名的方式由员工通过手机微信自行填写《员工满意度调研问卷》,由办公室收集并统计问卷结果。公司通过开展员工满意度调查活动，确认员工对各项管理活动、工作环境、自身权益等内容的满意程度，识别出影响员工满意度的关键性因素。针对员工满意度测评提出的关于薪酬福利、行政后勤服务改善工作、企业文化活动、员工培养等与员工个人密切相关的各项工作。由办公室将各涉及的改善措施进行跟踪并及时反馈给员工知晓。</w:t>
      </w:r>
    </w:p>
    <w:p>
      <w:pPr>
        <w:pStyle w:val="3"/>
        <w:numPr>
          <w:ilvl w:val="0"/>
          <w:numId w:val="0"/>
        </w:numPr>
        <w:spacing w:before="0" w:after="0" w:line="360" w:lineRule="auto"/>
        <w:rPr>
          <w:rFonts w:ascii="宋体" w:hAnsi="宋体"/>
        </w:rPr>
      </w:pPr>
      <w:bookmarkStart w:id="16" w:name="_Toc27540"/>
      <w:r>
        <w:rPr>
          <w:rFonts w:hint="eastAsia" w:ascii="宋体" w:hAnsi="宋体"/>
        </w:rPr>
        <w:t>2.4债权人、供应商、顾客等利益相关方的权益保护</w:t>
      </w:r>
      <w:bookmarkEnd w:id="16"/>
    </w:p>
    <w:p>
      <w:pPr>
        <w:pStyle w:val="15"/>
        <w:shd w:val="clear" w:color="auto" w:fill="FFFFFF"/>
        <w:spacing w:before="0" w:beforeAutospacing="0" w:after="0" w:afterAutospacing="0" w:line="360" w:lineRule="auto"/>
        <w:ind w:firstLine="420"/>
        <w:textAlignment w:val="baseline"/>
        <w:rPr>
          <w:rFonts w:cs="Arial"/>
          <w:bCs/>
          <w:kern w:val="2"/>
        </w:rPr>
      </w:pPr>
      <w:r>
        <w:rPr>
          <w:rFonts w:hint="eastAsia" w:cs="Arial"/>
          <w:bCs/>
          <w:kern w:val="2"/>
        </w:rPr>
        <w:t>公司始终尊重债权人、顾客、供方等利益相关者的合法权益，追求相互的平等地位，在经营活动中贯穿“诚信为本”的思想，与债权人、顾客、供方等有关利益相关方建立了良好的合作关系。</w:t>
      </w:r>
    </w:p>
    <w:p>
      <w:pPr>
        <w:pStyle w:val="15"/>
        <w:shd w:val="clear" w:color="auto" w:fill="FFFFFF"/>
        <w:spacing w:before="0" w:beforeAutospacing="0" w:after="0" w:afterAutospacing="0" w:line="360" w:lineRule="auto"/>
        <w:ind w:firstLine="420"/>
        <w:textAlignment w:val="baseline"/>
        <w:rPr>
          <w:rFonts w:cs="Arial"/>
          <w:bCs/>
          <w:kern w:val="2"/>
        </w:rPr>
      </w:pPr>
      <w:r>
        <w:rPr>
          <w:rFonts w:hint="eastAsia" w:cs="Arial"/>
          <w:bCs/>
          <w:kern w:val="2"/>
        </w:rPr>
        <w:t>公司持续完善内部控制制度，有效发挥风险管理与内部控制评价机制作用，保障公司经营管理合法合规、资产安全。公司保持良好的资信水平，严格按照与债权人签订的合同履行债务，按时支付利息、归还本金，及时通报与债权人权益相关的重大信息，维护与各债权人之间的良好合作关系。海关信用等级为 AA 级。</w:t>
      </w:r>
    </w:p>
    <w:p>
      <w:pPr>
        <w:pStyle w:val="47"/>
        <w:spacing w:line="360" w:lineRule="auto"/>
        <w:rPr>
          <w:rFonts w:hint="eastAsia" w:ascii="宋体" w:hAnsi="宋体"/>
          <w:b/>
          <w:sz w:val="24"/>
          <w:szCs w:val="24"/>
        </w:rPr>
      </w:pPr>
      <w:r>
        <w:rPr>
          <w:rFonts w:hint="eastAsia" w:ascii="宋体" w:hAnsi="宋体"/>
          <w:b/>
          <w:sz w:val="24"/>
          <w:szCs w:val="24"/>
        </w:rPr>
        <w:t>2.4.1 供应商的权益保护</w:t>
      </w:r>
    </w:p>
    <w:p>
      <w:pPr>
        <w:pStyle w:val="43"/>
        <w:shd w:val="clear" w:color="auto" w:fill="FFFFFF"/>
        <w:adjustRightInd/>
        <w:spacing w:line="360" w:lineRule="auto"/>
        <w:ind w:firstLine="424" w:firstLineChars="177"/>
        <w:jc w:val="both"/>
        <w:rPr>
          <w:rFonts w:hint="eastAsia"/>
        </w:rPr>
      </w:pPr>
      <w:r>
        <w:rPr>
          <w:rFonts w:hint="eastAsia"/>
        </w:rPr>
        <w:t>公司注</w:t>
      </w:r>
      <w:r>
        <w:t>重供应链一体化建设，不断完善采购流程与机制，建立公平、公正的评估体系，为供应商创造良好的竞争环境。与重要供应商建立战略合作关系，促进供应商在货源保障、质量、价格、服务方面理念上的提升和转变，从理念上认同</w:t>
      </w:r>
      <w:r>
        <w:rPr>
          <w:rFonts w:hint="eastAsia"/>
        </w:rPr>
        <w:t>公司</w:t>
      </w:r>
      <w:r>
        <w:t>的管理和程序，形成共识，优势互补，利益共享。</w:t>
      </w:r>
      <w:r>
        <w:rPr>
          <w:rFonts w:hint="eastAsia" w:hAnsi="宋体"/>
        </w:rPr>
        <w:t>公司建立并实施采购和供应商管理相关制度，规范和约束采购过程及供应商的管理，与供应商签定相关的双边合作协议、战略协议等。</w:t>
      </w:r>
    </w:p>
    <w:p>
      <w:pPr>
        <w:shd w:val="clear" w:color="auto" w:fill="FFFFFF"/>
        <w:spacing w:line="360" w:lineRule="auto"/>
        <w:ind w:firstLine="424" w:firstLineChars="177"/>
        <w:rPr>
          <w:rFonts w:hint="eastAsia" w:hAnsi="宋体" w:cs="Arial"/>
          <w:sz w:val="24"/>
        </w:rPr>
      </w:pPr>
      <w:r>
        <w:rPr>
          <w:sz w:val="24"/>
        </w:rPr>
        <w:t>公司严格遵守并履行合同友好协商解决纷争，以保证供应商的合理合法权益。</w:t>
      </w:r>
      <w:r>
        <w:rPr>
          <w:rFonts w:hint="eastAsia"/>
          <w:sz w:val="24"/>
        </w:rPr>
        <w:t>同时</w:t>
      </w:r>
      <w:r>
        <w:rPr>
          <w:sz w:val="24"/>
        </w:rPr>
        <w:t>发挥自身优势，协助供应商解决生产和工艺问题，实现共进、共享、共赢。推行公开招标，施行阳光采购，杜绝暗箱操作、商业贿赂和不正当交易情形。</w:t>
      </w:r>
      <w:r>
        <w:rPr>
          <w:rFonts w:hint="eastAsia" w:hAnsi="宋体" w:cs="Arial"/>
          <w:sz w:val="24"/>
        </w:rPr>
        <w:t>公司通过高层互访、供应商审核、电话沟通、网络沟通、技术交流会等形式，就发展战略、企业文化、业务信息等与供应商开展沟通交流。</w:t>
      </w:r>
    </w:p>
    <w:p>
      <w:pPr>
        <w:pStyle w:val="47"/>
        <w:spacing w:line="360" w:lineRule="auto"/>
        <w:rPr>
          <w:rFonts w:ascii="宋体" w:hAnsi="宋体"/>
          <w:b/>
          <w:sz w:val="24"/>
          <w:szCs w:val="24"/>
        </w:rPr>
      </w:pPr>
      <w:r>
        <w:rPr>
          <w:rFonts w:hint="eastAsia" w:ascii="宋体" w:hAnsi="宋体"/>
          <w:b/>
          <w:sz w:val="24"/>
          <w:szCs w:val="24"/>
        </w:rPr>
        <w:t>2.4.2 顾客的权益保护</w:t>
      </w:r>
    </w:p>
    <w:p>
      <w:pPr>
        <w:pStyle w:val="15"/>
        <w:shd w:val="clear" w:color="auto" w:fill="FFFFFF"/>
        <w:spacing w:before="0" w:beforeAutospacing="0" w:after="0" w:afterAutospacing="0" w:line="360" w:lineRule="auto"/>
        <w:ind w:firstLine="420"/>
        <w:textAlignment w:val="baseline"/>
        <w:rPr>
          <w:rFonts w:hint="eastAsia" w:cs="Arial"/>
          <w:bCs/>
          <w:kern w:val="2"/>
        </w:rPr>
      </w:pPr>
      <w:r>
        <w:rPr>
          <w:rFonts w:hint="eastAsia" w:cs="Arial"/>
          <w:bCs/>
          <w:kern w:val="2"/>
        </w:rPr>
        <w:t>公司坚持“真心伙伴，共赢未来”的营销理念，为客户提供一流的产品品质；通过满意度调查、现场走访、客情维护、服务专线等方式建立快速响应机制与完善的服务体系；在大力做好先进技术的引进、消化、自主创新的同时，积极开展自主研发工作，提升技术多元化与产品的先进性。</w:t>
      </w:r>
      <w:r>
        <w:rPr>
          <w:rFonts w:hint="eastAsia" w:cs="Arial"/>
          <w:bCs/>
          <w:kern w:val="2"/>
          <w:lang w:val="en-US" w:eastAsia="zh-CN"/>
        </w:rPr>
        <w:t>聚杰</w:t>
      </w:r>
      <w:r>
        <w:rPr>
          <w:rFonts w:hint="eastAsia" w:cs="Arial"/>
          <w:bCs/>
          <w:kern w:val="2"/>
        </w:rPr>
        <w:t>以卓越的品质、高价格性能比的产品与服务，与顾客实现双赢。</w:t>
      </w:r>
    </w:p>
    <w:p>
      <w:pPr>
        <w:shd w:val="clear" w:color="auto" w:fill="FFFFFF"/>
        <w:spacing w:line="360" w:lineRule="auto"/>
        <w:ind w:firstLine="422" w:firstLineChars="176"/>
        <w:rPr>
          <w:rFonts w:ascii="宋体" w:hAnsi="宋体"/>
          <w:color w:val="000000"/>
          <w:sz w:val="24"/>
        </w:rPr>
      </w:pPr>
      <w:r>
        <w:rPr>
          <w:rFonts w:ascii="宋体" w:hAnsi="宋体"/>
          <w:color w:val="000000"/>
          <w:sz w:val="24"/>
        </w:rPr>
        <w:t>公司一直关注顾客满意度情况，20</w:t>
      </w:r>
      <w:r>
        <w:rPr>
          <w:rFonts w:hint="eastAsia" w:ascii="宋体" w:hAnsi="宋体"/>
          <w:color w:val="000000"/>
          <w:sz w:val="24"/>
          <w:lang w:val="en-US" w:eastAsia="zh-CN"/>
        </w:rPr>
        <w:t>22</w:t>
      </w:r>
      <w:r>
        <w:rPr>
          <w:rFonts w:ascii="宋体" w:hAnsi="宋体"/>
          <w:color w:val="000000"/>
          <w:sz w:val="24"/>
        </w:rPr>
        <w:t>年通过问卷调查和会议等途径，全方位收集顾客满意度信息并听取顾客意见</w:t>
      </w:r>
      <w:r>
        <w:rPr>
          <w:rFonts w:hint="eastAsia" w:ascii="宋体" w:hAnsi="宋体"/>
          <w:color w:val="000000"/>
          <w:sz w:val="24"/>
        </w:rPr>
        <w:t>，</w:t>
      </w:r>
      <w:r>
        <w:rPr>
          <w:rFonts w:ascii="宋体" w:hAnsi="宋体"/>
          <w:color w:val="000000"/>
          <w:sz w:val="24"/>
        </w:rPr>
        <w:t>定期整理和总结相关信息，及时反</w:t>
      </w:r>
      <w:r>
        <w:rPr>
          <w:rFonts w:hint="eastAsia" w:ascii="宋体" w:hAnsi="宋体"/>
          <w:color w:val="000000"/>
          <w:sz w:val="24"/>
        </w:rPr>
        <w:t>馈</w:t>
      </w:r>
      <w:r>
        <w:rPr>
          <w:rFonts w:ascii="宋体" w:hAnsi="宋体"/>
          <w:color w:val="000000"/>
          <w:sz w:val="24"/>
        </w:rPr>
        <w:t>到各职能部门，用于新产品开发以及质量和服务的改进。</w:t>
      </w:r>
    </w:p>
    <w:p>
      <w:pPr>
        <w:pStyle w:val="3"/>
        <w:numPr>
          <w:ilvl w:val="0"/>
          <w:numId w:val="0"/>
        </w:numPr>
        <w:spacing w:before="0" w:after="0" w:line="360" w:lineRule="auto"/>
        <w:rPr>
          <w:rFonts w:ascii="宋体" w:hAnsi="宋体"/>
        </w:rPr>
      </w:pPr>
      <w:bookmarkStart w:id="17" w:name="_Toc15215"/>
      <w:r>
        <w:rPr>
          <w:rFonts w:hint="eastAsia" w:ascii="宋体" w:hAnsi="宋体"/>
        </w:rPr>
        <w:t>2.5公共责任</w:t>
      </w:r>
      <w:r>
        <w:rPr>
          <w:rFonts w:ascii="宋体" w:hAnsi="宋体"/>
        </w:rPr>
        <w:t>和可持续发展</w:t>
      </w:r>
      <w:bookmarkEnd w:id="17"/>
    </w:p>
    <w:p>
      <w:pPr>
        <w:spacing w:line="360" w:lineRule="auto"/>
        <w:ind w:right="325" w:rightChars="155" w:firstLine="480" w:firstLineChars="200"/>
        <w:rPr>
          <w:rFonts w:hint="eastAsia"/>
          <w:sz w:val="24"/>
        </w:rPr>
      </w:pPr>
      <w:r>
        <w:rPr>
          <w:rFonts w:hint="eastAsia"/>
          <w:sz w:val="24"/>
        </w:rPr>
        <w:t>公司的产品、服务和运营主要涉及到对“环境保护、资源综合利用、安全生产、职业健康”等方面的影响，为此特建立公共责任控制体系，详见下表所示。</w:t>
      </w:r>
    </w:p>
    <w:p>
      <w:pPr>
        <w:spacing w:line="360" w:lineRule="auto"/>
        <w:jc w:val="center"/>
        <w:rPr>
          <w:rFonts w:ascii="宋体" w:hAnsi="宋体"/>
          <w:b/>
          <w:color w:val="FF0000"/>
          <w:sz w:val="24"/>
        </w:rPr>
      </w:pPr>
      <w:r>
        <w:rPr>
          <w:rFonts w:hint="eastAsia" w:ascii="宋体" w:hAnsi="宋体"/>
          <w:b/>
          <w:sz w:val="24"/>
        </w:rPr>
        <w:t>图</w:t>
      </w:r>
      <w:r>
        <w:rPr>
          <w:rFonts w:hint="eastAsia" w:ascii="宋体" w:hAnsi="宋体"/>
          <w:b/>
          <w:color w:val="000000"/>
          <w:sz w:val="24"/>
        </w:rPr>
        <w:t>表-</w:t>
      </w:r>
      <w:r>
        <w:rPr>
          <w:rFonts w:ascii="宋体" w:hAnsi="宋体"/>
          <w:b/>
          <w:color w:val="000000"/>
          <w:sz w:val="24"/>
        </w:rPr>
        <w:t>1</w:t>
      </w:r>
      <w:r>
        <w:rPr>
          <w:rFonts w:hint="eastAsia" w:ascii="宋体" w:hAnsi="宋体"/>
          <w:b/>
          <w:color w:val="000000"/>
          <w:sz w:val="24"/>
        </w:rPr>
        <w:t>0</w:t>
      </w:r>
      <w:r>
        <w:rPr>
          <w:rFonts w:ascii="宋体" w:hAnsi="宋体"/>
          <w:b/>
          <w:color w:val="000000"/>
          <w:sz w:val="24"/>
        </w:rPr>
        <w:t xml:space="preserve"> </w:t>
      </w:r>
      <w:r>
        <w:rPr>
          <w:rFonts w:hint="eastAsia" w:ascii="宋体" w:hAnsi="宋体"/>
          <w:b/>
          <w:color w:val="000000"/>
          <w:sz w:val="24"/>
        </w:rPr>
        <w:t xml:space="preserve"> </w:t>
      </w:r>
      <w:r>
        <w:rPr>
          <w:rFonts w:hint="eastAsia" w:ascii="宋体" w:hAnsi="宋体"/>
          <w:b/>
          <w:color w:val="000000"/>
          <w:sz w:val="24"/>
          <w:lang w:eastAsia="zh-CN"/>
        </w:rPr>
        <w:t>2023</w:t>
      </w:r>
      <w:r>
        <w:rPr>
          <w:rFonts w:hint="eastAsia" w:ascii="宋体" w:hAnsi="宋体"/>
          <w:b/>
          <w:color w:val="000000"/>
          <w:sz w:val="24"/>
        </w:rPr>
        <w:t>年公共责任方面的控制和改进措施</w:t>
      </w:r>
    </w:p>
    <w:tbl>
      <w:tblPr>
        <w:tblStyle w:val="18"/>
        <w:tblW w:w="870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7"/>
        <w:gridCol w:w="1350"/>
        <w:gridCol w:w="637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977" w:type="dxa"/>
            <w:shd w:val="clear" w:color="auto" w:fill="FBE4D5"/>
            <w:noWrap w:val="0"/>
            <w:vAlign w:val="center"/>
          </w:tcPr>
          <w:p>
            <w:pPr>
              <w:jc w:val="center"/>
              <w:rPr>
                <w:rFonts w:ascii="宋体" w:hAnsi="宋体"/>
                <w:b/>
                <w:color w:val="000000"/>
                <w:szCs w:val="21"/>
              </w:rPr>
            </w:pPr>
            <w:r>
              <w:rPr>
                <w:rFonts w:hint="eastAsia" w:ascii="宋体" w:hAnsi="宋体"/>
                <w:b/>
                <w:color w:val="000000"/>
                <w:szCs w:val="21"/>
              </w:rPr>
              <w:t>关键</w:t>
            </w:r>
          </w:p>
          <w:p>
            <w:pPr>
              <w:jc w:val="center"/>
              <w:rPr>
                <w:rFonts w:ascii="宋体" w:hAnsi="宋体"/>
                <w:b/>
                <w:color w:val="000000"/>
                <w:szCs w:val="21"/>
              </w:rPr>
            </w:pPr>
            <w:r>
              <w:rPr>
                <w:rFonts w:hint="eastAsia" w:ascii="宋体" w:hAnsi="宋体"/>
                <w:b/>
                <w:color w:val="000000"/>
                <w:szCs w:val="21"/>
              </w:rPr>
              <w:t>过程</w:t>
            </w:r>
          </w:p>
        </w:tc>
        <w:tc>
          <w:tcPr>
            <w:tcW w:w="1350" w:type="dxa"/>
            <w:shd w:val="clear" w:color="auto" w:fill="FBE4D5"/>
            <w:noWrap w:val="0"/>
            <w:vAlign w:val="center"/>
          </w:tcPr>
          <w:p>
            <w:pPr>
              <w:jc w:val="center"/>
              <w:rPr>
                <w:rFonts w:ascii="宋体" w:hAnsi="宋体"/>
                <w:b/>
                <w:color w:val="000000"/>
                <w:szCs w:val="21"/>
              </w:rPr>
            </w:pPr>
            <w:r>
              <w:rPr>
                <w:rFonts w:hint="eastAsia" w:ascii="宋体" w:hAnsi="宋体"/>
                <w:b/>
                <w:color w:val="000000"/>
                <w:szCs w:val="21"/>
              </w:rPr>
              <w:t>重大环境因素/危险源</w:t>
            </w:r>
          </w:p>
        </w:tc>
        <w:tc>
          <w:tcPr>
            <w:tcW w:w="6379" w:type="dxa"/>
            <w:shd w:val="clear" w:color="auto" w:fill="FBE4D5"/>
            <w:noWrap w:val="0"/>
            <w:vAlign w:val="center"/>
          </w:tcPr>
          <w:p>
            <w:pPr>
              <w:jc w:val="center"/>
              <w:rPr>
                <w:rFonts w:ascii="宋体" w:hAnsi="宋体"/>
                <w:b/>
                <w:color w:val="000000"/>
                <w:szCs w:val="21"/>
              </w:rPr>
            </w:pPr>
            <w:r>
              <w:rPr>
                <w:rFonts w:hint="eastAsia" w:ascii="宋体" w:hAnsi="宋体"/>
                <w:b/>
                <w:color w:val="000000"/>
                <w:szCs w:val="21"/>
              </w:rPr>
              <w:t>主要控制/改进措施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4" w:hRule="atLeast"/>
          <w:tblHeader/>
          <w:jc w:val="center"/>
        </w:trPr>
        <w:tc>
          <w:tcPr>
            <w:tcW w:w="977" w:type="dxa"/>
            <w:noWrap w:val="0"/>
            <w:vAlign w:val="center"/>
          </w:tcPr>
          <w:p>
            <w:pPr>
              <w:jc w:val="center"/>
              <w:rPr>
                <w:rFonts w:ascii="宋体" w:hAnsi="宋体"/>
                <w:color w:val="000000"/>
                <w:szCs w:val="21"/>
              </w:rPr>
            </w:pPr>
            <w:r>
              <w:rPr>
                <w:rFonts w:hint="eastAsia" w:ascii="宋体" w:hAnsi="宋体"/>
                <w:color w:val="000000"/>
                <w:szCs w:val="21"/>
              </w:rPr>
              <w:t>产品质量安全</w:t>
            </w:r>
          </w:p>
        </w:tc>
        <w:tc>
          <w:tcPr>
            <w:tcW w:w="1350" w:type="dxa"/>
            <w:noWrap w:val="0"/>
            <w:vAlign w:val="center"/>
          </w:tcPr>
          <w:p>
            <w:pPr>
              <w:jc w:val="left"/>
              <w:rPr>
                <w:rFonts w:ascii="宋体" w:hAnsi="宋体"/>
                <w:color w:val="000000"/>
                <w:szCs w:val="21"/>
              </w:rPr>
            </w:pPr>
            <w:r>
              <w:rPr>
                <w:rFonts w:hint="eastAsia" w:ascii="宋体" w:hAnsi="宋体"/>
                <w:color w:val="000000"/>
                <w:szCs w:val="21"/>
              </w:rPr>
              <w:t>各类影响安全的故障</w:t>
            </w:r>
          </w:p>
        </w:tc>
        <w:tc>
          <w:tcPr>
            <w:tcW w:w="6379" w:type="dxa"/>
            <w:noWrap w:val="0"/>
            <w:vAlign w:val="center"/>
          </w:tcPr>
          <w:p>
            <w:pPr>
              <w:jc w:val="left"/>
              <w:rPr>
                <w:rFonts w:ascii="宋体" w:hAnsi="宋体"/>
                <w:color w:val="000000"/>
                <w:szCs w:val="21"/>
              </w:rPr>
            </w:pPr>
            <w:r>
              <w:rPr>
                <w:rFonts w:hint="eastAsia" w:ascii="宋体" w:hAnsi="宋体"/>
                <w:color w:val="000000"/>
                <w:szCs w:val="21"/>
              </w:rPr>
              <w:t>产品严格执行欧美标准与中国国家标准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977" w:type="dxa"/>
            <w:noWrap w:val="0"/>
            <w:vAlign w:val="center"/>
          </w:tcPr>
          <w:p>
            <w:pPr>
              <w:jc w:val="center"/>
              <w:rPr>
                <w:rFonts w:ascii="宋体" w:hAnsi="宋体"/>
                <w:color w:val="000000"/>
                <w:szCs w:val="21"/>
              </w:rPr>
            </w:pPr>
            <w:r>
              <w:rPr>
                <w:rFonts w:hint="eastAsia" w:ascii="宋体" w:hAnsi="宋体"/>
                <w:color w:val="000000"/>
                <w:szCs w:val="21"/>
              </w:rPr>
              <w:t>资源综合利用</w:t>
            </w:r>
          </w:p>
        </w:tc>
        <w:tc>
          <w:tcPr>
            <w:tcW w:w="1350" w:type="dxa"/>
            <w:noWrap w:val="0"/>
            <w:vAlign w:val="center"/>
          </w:tcPr>
          <w:p>
            <w:pPr>
              <w:jc w:val="left"/>
              <w:rPr>
                <w:rFonts w:ascii="宋体" w:hAnsi="宋体"/>
                <w:color w:val="000000"/>
                <w:szCs w:val="21"/>
              </w:rPr>
            </w:pPr>
            <w:r>
              <w:rPr>
                <w:rFonts w:hint="eastAsia" w:ascii="宋体" w:hAnsi="宋体"/>
                <w:color w:val="000000"/>
                <w:szCs w:val="21"/>
              </w:rPr>
              <w:t>废料</w:t>
            </w:r>
          </w:p>
        </w:tc>
        <w:tc>
          <w:tcPr>
            <w:tcW w:w="6379" w:type="dxa"/>
            <w:noWrap w:val="0"/>
            <w:vAlign w:val="center"/>
          </w:tcPr>
          <w:p>
            <w:pPr>
              <w:jc w:val="left"/>
              <w:rPr>
                <w:rFonts w:ascii="宋体" w:hAnsi="宋体"/>
                <w:color w:val="000000"/>
                <w:szCs w:val="21"/>
              </w:rPr>
            </w:pPr>
            <w:r>
              <w:rPr>
                <w:rFonts w:ascii="宋体" w:hAnsi="宋体"/>
                <w:color w:val="000000"/>
                <w:szCs w:val="21"/>
              </w:rPr>
              <w:t>1.</w:t>
            </w:r>
            <w:r>
              <w:rPr>
                <w:rFonts w:hint="eastAsia" w:ascii="宋体" w:hAnsi="宋体"/>
                <w:color w:val="000000"/>
                <w:szCs w:val="21"/>
              </w:rPr>
              <w:t>改善</w:t>
            </w:r>
            <w:r>
              <w:rPr>
                <w:rFonts w:ascii="宋体" w:hAnsi="宋体"/>
                <w:color w:val="000000"/>
                <w:szCs w:val="21"/>
              </w:rPr>
              <w:t>一般固废存储场地</w:t>
            </w:r>
            <w:r>
              <w:rPr>
                <w:rFonts w:hint="eastAsia" w:ascii="宋体" w:hAnsi="宋体"/>
                <w:color w:val="000000"/>
                <w:szCs w:val="21"/>
              </w:rPr>
              <w:t>；</w:t>
            </w:r>
          </w:p>
          <w:p>
            <w:pPr>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有兼职管理人员分管固</w:t>
            </w:r>
            <w:r>
              <w:rPr>
                <w:rFonts w:ascii="宋体" w:hAnsi="宋体"/>
                <w:color w:val="000000"/>
                <w:szCs w:val="21"/>
              </w:rPr>
              <w:t>废</w:t>
            </w:r>
            <w:r>
              <w:rPr>
                <w:rFonts w:hint="eastAsia" w:ascii="宋体" w:hAnsi="宋体"/>
                <w:color w:val="000000"/>
                <w:szCs w:val="21"/>
              </w:rPr>
              <w:t>，及时联系环卫部门清理固</w:t>
            </w:r>
            <w:r>
              <w:rPr>
                <w:rFonts w:ascii="宋体" w:hAnsi="宋体"/>
                <w:color w:val="000000"/>
                <w:szCs w:val="21"/>
              </w:rPr>
              <w:t>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restart"/>
            <w:noWrap w:val="0"/>
            <w:vAlign w:val="center"/>
          </w:tcPr>
          <w:p>
            <w:pPr>
              <w:jc w:val="center"/>
              <w:rPr>
                <w:rFonts w:ascii="宋体" w:hAnsi="宋体"/>
                <w:color w:val="000000"/>
                <w:szCs w:val="21"/>
              </w:rPr>
            </w:pPr>
            <w:r>
              <w:rPr>
                <w:rFonts w:hint="eastAsia" w:ascii="宋体" w:hAnsi="宋体"/>
                <w:color w:val="000000"/>
                <w:szCs w:val="21"/>
              </w:rPr>
              <w:t>环</w:t>
            </w:r>
          </w:p>
          <w:p>
            <w:pPr>
              <w:jc w:val="center"/>
              <w:rPr>
                <w:rFonts w:ascii="宋体" w:hAnsi="宋体"/>
                <w:color w:val="000000"/>
                <w:szCs w:val="21"/>
              </w:rPr>
            </w:pPr>
            <w:r>
              <w:rPr>
                <w:rFonts w:hint="eastAsia" w:ascii="宋体" w:hAnsi="宋体"/>
                <w:color w:val="000000"/>
                <w:szCs w:val="21"/>
              </w:rPr>
              <w:t>境</w:t>
            </w:r>
          </w:p>
          <w:p>
            <w:pPr>
              <w:jc w:val="center"/>
              <w:rPr>
                <w:rFonts w:ascii="宋体" w:hAnsi="宋体"/>
                <w:color w:val="000000"/>
                <w:szCs w:val="21"/>
              </w:rPr>
            </w:pPr>
            <w:r>
              <w:rPr>
                <w:rFonts w:hint="eastAsia" w:ascii="宋体" w:hAnsi="宋体"/>
                <w:color w:val="000000"/>
                <w:szCs w:val="21"/>
              </w:rPr>
              <w:t>保</w:t>
            </w:r>
          </w:p>
          <w:p>
            <w:pPr>
              <w:jc w:val="center"/>
              <w:rPr>
                <w:rFonts w:ascii="宋体" w:hAnsi="宋体"/>
                <w:color w:val="FF0000"/>
                <w:szCs w:val="21"/>
              </w:rPr>
            </w:pPr>
            <w:r>
              <w:rPr>
                <w:rFonts w:hint="eastAsia" w:ascii="宋体" w:hAnsi="宋体"/>
                <w:color w:val="000000"/>
                <w:szCs w:val="21"/>
              </w:rPr>
              <w:t>护</w:t>
            </w:r>
          </w:p>
        </w:tc>
        <w:tc>
          <w:tcPr>
            <w:tcW w:w="1350" w:type="dxa"/>
            <w:noWrap w:val="0"/>
            <w:vAlign w:val="center"/>
          </w:tcPr>
          <w:p>
            <w:pPr>
              <w:rPr>
                <w:rFonts w:ascii="宋体" w:hAnsi="宋体"/>
                <w:color w:val="000000"/>
                <w:szCs w:val="21"/>
              </w:rPr>
            </w:pPr>
            <w:r>
              <w:rPr>
                <w:rFonts w:hint="eastAsia" w:ascii="宋体" w:hAnsi="宋体"/>
                <w:color w:val="000000"/>
                <w:szCs w:val="21"/>
              </w:rPr>
              <w:t>废水</w:t>
            </w:r>
          </w:p>
        </w:tc>
        <w:tc>
          <w:tcPr>
            <w:tcW w:w="6379" w:type="dxa"/>
            <w:noWrap w:val="0"/>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厂区实行雨污分流</w:t>
            </w:r>
          </w:p>
          <w:p>
            <w:pPr>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产品清洗</w:t>
            </w:r>
            <w:r>
              <w:rPr>
                <w:rFonts w:ascii="宋体" w:hAnsi="宋体"/>
                <w:color w:val="000000"/>
                <w:szCs w:val="21"/>
              </w:rPr>
              <w:t>废水经公司污水处理池处理后达标排放到市政污水管网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废气（P</w:t>
            </w:r>
            <w:r>
              <w:rPr>
                <w:rFonts w:ascii="宋体" w:hAnsi="宋体"/>
                <w:color w:val="000000"/>
                <w:szCs w:val="21"/>
              </w:rPr>
              <w:t>CBA</w:t>
            </w:r>
            <w:r>
              <w:rPr>
                <w:rFonts w:hint="eastAsia" w:ascii="宋体" w:hAnsi="宋体"/>
                <w:color w:val="000000"/>
                <w:szCs w:val="21"/>
              </w:rPr>
              <w:t>）</w:t>
            </w:r>
          </w:p>
        </w:tc>
        <w:tc>
          <w:tcPr>
            <w:tcW w:w="6379" w:type="dxa"/>
            <w:noWrap w:val="0"/>
            <w:vAlign w:val="center"/>
          </w:tcPr>
          <w:p>
            <w:pPr>
              <w:rPr>
                <w:rFonts w:ascii="宋体" w:hAnsi="宋体"/>
                <w:color w:val="000000"/>
                <w:szCs w:val="21"/>
              </w:rPr>
            </w:pPr>
            <w:r>
              <w:rPr>
                <w:rFonts w:hint="eastAsia" w:ascii="宋体" w:hAnsi="宋体"/>
                <w:color w:val="000000"/>
                <w:szCs w:val="21"/>
              </w:rPr>
              <w:t>无废气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厂界噪声</w:t>
            </w:r>
          </w:p>
        </w:tc>
        <w:tc>
          <w:tcPr>
            <w:tcW w:w="6379" w:type="dxa"/>
            <w:noWrap w:val="0"/>
            <w:vAlign w:val="center"/>
          </w:tcPr>
          <w:p>
            <w:pPr>
              <w:rPr>
                <w:rFonts w:hint="eastAsia" w:ascii="宋体" w:hAnsi="宋体"/>
                <w:color w:val="000000"/>
                <w:szCs w:val="21"/>
              </w:rPr>
            </w:pPr>
            <w:r>
              <w:rPr>
                <w:rFonts w:ascii="宋体" w:hAnsi="宋体"/>
                <w:color w:val="000000"/>
                <w:szCs w:val="21"/>
              </w:rPr>
              <w:t>1.</w:t>
            </w:r>
            <w:r>
              <w:rPr>
                <w:rFonts w:hint="eastAsia" w:ascii="宋体" w:hAnsi="宋体"/>
                <w:color w:val="000000"/>
                <w:szCs w:val="21"/>
              </w:rPr>
              <w:t>对产生</w:t>
            </w:r>
            <w:r>
              <w:rPr>
                <w:rFonts w:ascii="宋体" w:hAnsi="宋体"/>
                <w:color w:val="000000"/>
                <w:szCs w:val="21"/>
              </w:rPr>
              <w:t>较大噪音的设备</w:t>
            </w:r>
            <w:r>
              <w:rPr>
                <w:rFonts w:hint="eastAsia" w:ascii="宋体" w:hAnsi="宋体"/>
                <w:color w:val="000000"/>
                <w:szCs w:val="21"/>
              </w:rPr>
              <w:t>、</w:t>
            </w:r>
            <w:r>
              <w:rPr>
                <w:rFonts w:ascii="宋体" w:hAnsi="宋体"/>
                <w:color w:val="000000"/>
                <w:szCs w:val="21"/>
              </w:rPr>
              <w:t>场所，采取隔音措施</w:t>
            </w:r>
            <w:r>
              <w:rPr>
                <w:rFonts w:hint="eastAsia" w:ascii="宋体" w:hAnsi="宋体"/>
                <w:color w:val="000000"/>
                <w:szCs w:val="21"/>
              </w:rPr>
              <w:t>；</w:t>
            </w:r>
          </w:p>
          <w:p>
            <w:pPr>
              <w:rPr>
                <w:rFonts w:hint="eastAsia" w:ascii="宋体" w:hAnsi="宋体"/>
                <w:color w:val="000000"/>
                <w:szCs w:val="21"/>
              </w:rPr>
            </w:pPr>
            <w:r>
              <w:rPr>
                <w:rFonts w:ascii="宋体" w:hAnsi="宋体"/>
                <w:color w:val="000000"/>
                <w:szCs w:val="21"/>
              </w:rPr>
              <w:t>2.</w:t>
            </w:r>
            <w:r>
              <w:rPr>
                <w:rFonts w:hint="eastAsia" w:ascii="宋体" w:hAnsi="宋体"/>
                <w:color w:val="000000"/>
                <w:szCs w:val="21"/>
              </w:rPr>
              <w:t>现场</w:t>
            </w:r>
            <w:r>
              <w:rPr>
                <w:rFonts w:ascii="宋体" w:hAnsi="宋体"/>
                <w:color w:val="000000"/>
                <w:szCs w:val="21"/>
              </w:rPr>
              <w:t>为员工配置耳</w:t>
            </w:r>
            <w:r>
              <w:rPr>
                <w:rFonts w:hint="eastAsia" w:ascii="宋体" w:hAnsi="宋体"/>
                <w:color w:val="000000"/>
                <w:szCs w:val="21"/>
              </w:rPr>
              <w:t>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危险固废</w:t>
            </w:r>
          </w:p>
        </w:tc>
        <w:tc>
          <w:tcPr>
            <w:tcW w:w="6379" w:type="dxa"/>
            <w:noWrap w:val="0"/>
            <w:vAlign w:val="center"/>
          </w:tcPr>
          <w:p>
            <w:pPr>
              <w:rPr>
                <w:rFonts w:hint="eastAsia" w:ascii="宋体" w:hAnsi="宋体"/>
                <w:color w:val="000000"/>
                <w:szCs w:val="21"/>
              </w:rPr>
            </w:pPr>
            <w:r>
              <w:rPr>
                <w:rFonts w:hint="eastAsia" w:ascii="宋体" w:hAnsi="宋体"/>
                <w:color w:val="000000"/>
                <w:szCs w:val="21"/>
              </w:rPr>
              <w:t>极少量办公、设备维修危险固废，采取供应商回收、临时收纳处理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continue"/>
            <w:noWrap w:val="0"/>
            <w:vAlign w:val="center"/>
          </w:tcPr>
          <w:p>
            <w:pPr>
              <w:jc w:val="cente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水消耗、电消耗</w:t>
            </w:r>
          </w:p>
        </w:tc>
        <w:tc>
          <w:tcPr>
            <w:tcW w:w="6379" w:type="dxa"/>
            <w:noWrap w:val="0"/>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严格执行用水用电管理制度并加强考核</w:t>
            </w:r>
          </w:p>
          <w:p>
            <w:pPr>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增加硬水回收</w:t>
            </w:r>
            <w:r>
              <w:rPr>
                <w:rFonts w:ascii="宋体" w:hAnsi="宋体"/>
                <w:color w:val="000000"/>
                <w:szCs w:val="21"/>
              </w:rPr>
              <w:t>利用</w:t>
            </w:r>
          </w:p>
          <w:p>
            <w:pPr>
              <w:rPr>
                <w:rFonts w:hint="eastAsia" w:ascii="宋体" w:hAnsi="宋体"/>
                <w:color w:val="000000"/>
                <w:szCs w:val="21"/>
              </w:rPr>
            </w:pP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做好用电用水设施维护保养</w:t>
            </w:r>
          </w:p>
          <w:p>
            <w:pPr>
              <w:rPr>
                <w:rFonts w:hint="eastAsia" w:ascii="宋体" w:hAnsi="宋体"/>
                <w:color w:val="000000"/>
                <w:szCs w:val="21"/>
              </w:rPr>
            </w:pPr>
            <w:r>
              <w:rPr>
                <w:rFonts w:ascii="宋体" w:hAnsi="宋体"/>
                <w:color w:val="000000"/>
                <w:szCs w:val="21"/>
              </w:rPr>
              <w:t>4.</w:t>
            </w:r>
            <w:r>
              <w:rPr>
                <w:rFonts w:hint="eastAsia" w:ascii="宋体" w:hAnsi="宋体"/>
                <w:color w:val="000000"/>
                <w:szCs w:val="21"/>
              </w:rPr>
              <w:t>设备设施改造时用低能耗产品，</w:t>
            </w:r>
            <w:r>
              <w:rPr>
                <w:rFonts w:ascii="宋体" w:hAnsi="宋体"/>
                <w:color w:val="000000"/>
                <w:szCs w:val="21"/>
              </w:rPr>
              <w:t>如：将节能灯改为</w:t>
            </w:r>
            <w:r>
              <w:rPr>
                <w:rFonts w:hint="eastAsia" w:ascii="宋体" w:hAnsi="宋体"/>
                <w:color w:val="000000"/>
                <w:szCs w:val="21"/>
              </w:rPr>
              <w:t>LED灯等</w:t>
            </w:r>
            <w:r>
              <w:rPr>
                <w:rFonts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noWrap w:val="0"/>
            <w:vAlign w:val="center"/>
          </w:tcPr>
          <w:p>
            <w:pPr>
              <w:jc w:val="center"/>
              <w:rPr>
                <w:rFonts w:ascii="宋体" w:hAnsi="宋体"/>
                <w:color w:val="000000"/>
                <w:szCs w:val="21"/>
              </w:rPr>
            </w:pPr>
            <w:r>
              <w:rPr>
                <w:rFonts w:hint="eastAsia" w:ascii="宋体" w:hAnsi="宋体"/>
                <w:color w:val="000000"/>
                <w:szCs w:val="21"/>
              </w:rPr>
              <w:t>安全</w:t>
            </w:r>
          </w:p>
          <w:p>
            <w:pPr>
              <w:jc w:val="center"/>
              <w:rPr>
                <w:rFonts w:ascii="宋体" w:hAnsi="宋体"/>
                <w:color w:val="000000"/>
                <w:szCs w:val="21"/>
              </w:rPr>
            </w:pPr>
            <w:r>
              <w:rPr>
                <w:rFonts w:hint="eastAsia" w:ascii="宋体" w:hAnsi="宋体"/>
                <w:color w:val="000000"/>
                <w:szCs w:val="21"/>
              </w:rPr>
              <w:t>生产</w:t>
            </w:r>
          </w:p>
        </w:tc>
        <w:tc>
          <w:tcPr>
            <w:tcW w:w="1350" w:type="dxa"/>
            <w:noWrap w:val="0"/>
            <w:vAlign w:val="center"/>
          </w:tcPr>
          <w:p>
            <w:pPr>
              <w:rPr>
                <w:rFonts w:ascii="宋体" w:hAnsi="宋体"/>
                <w:color w:val="000000"/>
                <w:szCs w:val="21"/>
              </w:rPr>
            </w:pPr>
            <w:r>
              <w:rPr>
                <w:rFonts w:hint="eastAsia" w:ascii="宋体" w:hAnsi="宋体"/>
                <w:color w:val="000000"/>
                <w:szCs w:val="21"/>
              </w:rPr>
              <w:t>各类事故</w:t>
            </w:r>
          </w:p>
        </w:tc>
        <w:tc>
          <w:tcPr>
            <w:tcW w:w="6379" w:type="dxa"/>
            <w:noWrap w:val="0"/>
            <w:vAlign w:val="center"/>
          </w:tcPr>
          <w:p>
            <w:pPr>
              <w:rPr>
                <w:rFonts w:ascii="宋体" w:hAnsi="宋体"/>
                <w:color w:val="000000"/>
                <w:szCs w:val="21"/>
              </w:rPr>
            </w:pPr>
            <w:r>
              <w:rPr>
                <w:rFonts w:ascii="宋体" w:hAnsi="宋体"/>
                <w:color w:val="000000"/>
                <w:szCs w:val="21"/>
              </w:rPr>
              <w:t>1.</w:t>
            </w:r>
            <w:r>
              <w:rPr>
                <w:rFonts w:hint="eastAsia" w:ascii="宋体" w:hAnsi="宋体"/>
                <w:color w:val="000000"/>
                <w:szCs w:val="21"/>
              </w:rPr>
              <w:t>与各部门、</w:t>
            </w:r>
            <w:r>
              <w:rPr>
                <w:rFonts w:ascii="宋体" w:hAnsi="宋体"/>
                <w:color w:val="000000"/>
                <w:szCs w:val="21"/>
              </w:rPr>
              <w:t>班组等层层签署</w:t>
            </w:r>
            <w:r>
              <w:rPr>
                <w:rFonts w:hint="eastAsia" w:ascii="宋体" w:hAnsi="宋体"/>
                <w:color w:val="000000"/>
                <w:szCs w:val="21"/>
              </w:rPr>
              <w:t>安全生产目标管理责任书</w:t>
            </w:r>
          </w:p>
          <w:p>
            <w:pPr>
              <w:rPr>
                <w:rFonts w:hint="eastAsia"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每月开展安全</w:t>
            </w:r>
            <w:r>
              <w:rPr>
                <w:rFonts w:ascii="宋体" w:hAnsi="宋体"/>
                <w:color w:val="000000"/>
                <w:szCs w:val="21"/>
              </w:rPr>
              <w:t>生产综合检查和安全生产会议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06" w:hRule="atLeast"/>
          <w:jc w:val="center"/>
        </w:trPr>
        <w:tc>
          <w:tcPr>
            <w:tcW w:w="977" w:type="dxa"/>
            <w:vMerge w:val="restart"/>
            <w:noWrap w:val="0"/>
            <w:vAlign w:val="center"/>
          </w:tcPr>
          <w:p>
            <w:pPr>
              <w:rPr>
                <w:rFonts w:ascii="宋体" w:hAnsi="宋体"/>
                <w:color w:val="000000"/>
                <w:szCs w:val="21"/>
              </w:rPr>
            </w:pPr>
            <w:r>
              <w:rPr>
                <w:rFonts w:hint="eastAsia" w:ascii="宋体" w:hAnsi="宋体"/>
                <w:color w:val="000000"/>
                <w:szCs w:val="21"/>
              </w:rPr>
              <w:t>公共卫生</w:t>
            </w:r>
          </w:p>
        </w:tc>
        <w:tc>
          <w:tcPr>
            <w:tcW w:w="1350" w:type="dxa"/>
            <w:noWrap w:val="0"/>
            <w:vAlign w:val="center"/>
          </w:tcPr>
          <w:p>
            <w:pPr>
              <w:rPr>
                <w:rFonts w:ascii="宋体" w:hAnsi="宋体"/>
                <w:color w:val="000000"/>
                <w:szCs w:val="21"/>
              </w:rPr>
            </w:pPr>
            <w:r>
              <w:rPr>
                <w:rFonts w:hint="eastAsia" w:ascii="宋体" w:hAnsi="宋体"/>
                <w:color w:val="000000"/>
                <w:szCs w:val="21"/>
              </w:rPr>
              <w:t>噪声</w:t>
            </w:r>
          </w:p>
        </w:tc>
        <w:tc>
          <w:tcPr>
            <w:tcW w:w="6379" w:type="dxa"/>
            <w:noWrap w:val="0"/>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佩戴耳罩</w:t>
            </w:r>
          </w:p>
          <w:p>
            <w:pPr>
              <w:rPr>
                <w:rFonts w:hint="eastAsia"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作业点作业人员每年进行一次体检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hint="eastAsia" w:ascii="宋体" w:hAnsi="宋体"/>
                <w:color w:val="000000"/>
                <w:szCs w:val="21"/>
              </w:rPr>
            </w:pPr>
            <w:r>
              <w:rPr>
                <w:rFonts w:hint="eastAsia" w:ascii="宋体" w:hAnsi="宋体"/>
                <w:color w:val="000000"/>
                <w:szCs w:val="21"/>
              </w:rPr>
              <w:t>废气</w:t>
            </w:r>
          </w:p>
        </w:tc>
        <w:tc>
          <w:tcPr>
            <w:tcW w:w="6379" w:type="dxa"/>
            <w:noWrap w:val="0"/>
            <w:vAlign w:val="center"/>
          </w:tcPr>
          <w:p>
            <w:pPr>
              <w:rPr>
                <w:rFonts w:hint="eastAsia" w:ascii="宋体" w:hAnsi="宋体"/>
                <w:color w:val="000000"/>
                <w:szCs w:val="21"/>
              </w:rPr>
            </w:pPr>
            <w:r>
              <w:rPr>
                <w:rFonts w:hint="eastAsia" w:ascii="宋体" w:hAnsi="宋体"/>
                <w:color w:val="000000"/>
                <w:szCs w:val="21"/>
              </w:rPr>
              <w:t>定期</w:t>
            </w:r>
            <w:r>
              <w:rPr>
                <w:rFonts w:ascii="宋体" w:hAnsi="宋体"/>
                <w:color w:val="000000"/>
                <w:szCs w:val="21"/>
              </w:rPr>
              <w:t>开展废气检测</w:t>
            </w:r>
          </w:p>
        </w:tc>
      </w:tr>
    </w:tbl>
    <w:p>
      <w:pPr>
        <w:spacing w:line="360" w:lineRule="auto"/>
        <w:ind w:firstLine="480" w:firstLineChars="200"/>
        <w:jc w:val="left"/>
        <w:outlineLvl w:val="1"/>
        <w:rPr>
          <w:rFonts w:hint="eastAsia" w:eastAsia="宋体"/>
          <w:sz w:val="24"/>
          <w:lang w:eastAsia="zh-CN"/>
        </w:rPr>
      </w:pPr>
      <w:r>
        <w:rPr>
          <w:rFonts w:hint="eastAsia"/>
          <w:sz w:val="24"/>
        </w:rPr>
        <w:t>公司全面落实科学发展观，努力构建资源节约型、环境友好型企业。</w:t>
      </w:r>
      <w:r>
        <w:rPr>
          <w:rFonts w:hint="eastAsia"/>
          <w:sz w:val="24"/>
          <w:lang w:val="en-US" w:eastAsia="zh-CN"/>
        </w:rPr>
        <w:t>聚杰</w:t>
      </w:r>
      <w:r>
        <w:rPr>
          <w:rFonts w:hint="eastAsia"/>
          <w:sz w:val="24"/>
        </w:rPr>
        <w:t>致力于管理、技术、工艺创新，引进先进生产设备，为实现公司总战略发展要求，满足不断变化的顾客、市场和各相关方的需求，提高劳动生产率，降低劳动生产成本</w:t>
      </w:r>
      <w:bookmarkStart w:id="18" w:name="_Toc27355"/>
      <w:r>
        <w:rPr>
          <w:rFonts w:hint="eastAsia"/>
          <w:sz w:val="24"/>
          <w:lang w:eastAsia="zh-CN"/>
        </w:rPr>
        <w:t>。</w:t>
      </w:r>
    </w:p>
    <w:p>
      <w:pPr>
        <w:spacing w:line="360" w:lineRule="auto"/>
        <w:ind w:firstLine="480" w:firstLineChars="200"/>
        <w:jc w:val="left"/>
        <w:outlineLvl w:val="1"/>
        <w:rPr>
          <w:rFonts w:hint="eastAsia" w:cs="Arial"/>
          <w:bCs/>
          <w:sz w:val="24"/>
          <w:highlight w:val="yellow"/>
        </w:rPr>
      </w:pPr>
      <w:r>
        <w:rPr>
          <w:rFonts w:hint="eastAsia"/>
          <w:color w:val="000000"/>
          <w:sz w:val="24"/>
          <w:shd w:val="clear" w:color="auto" w:fill="FFFFFF"/>
        </w:rPr>
        <w:t>在合规方面，我们严格按照国家和地方相关法律法规和行业标准实施管理控制，履行自己的职责，保持了质量、环境、职业健康安全三体系认证有效性，坚持体系化建设；开展安全标准化建设，实施标准化管理。 </w:t>
      </w:r>
      <w:bookmarkEnd w:id="18"/>
    </w:p>
    <w:p>
      <w:pPr>
        <w:pStyle w:val="3"/>
        <w:numPr>
          <w:ilvl w:val="0"/>
          <w:numId w:val="0"/>
        </w:numPr>
        <w:spacing w:before="0" w:after="0" w:line="360" w:lineRule="auto"/>
        <w:rPr>
          <w:rFonts w:hint="eastAsia" w:ascii="宋体" w:hAnsi="宋体"/>
        </w:rPr>
      </w:pPr>
      <w:bookmarkStart w:id="19" w:name="_Toc1869"/>
      <w:r>
        <w:rPr>
          <w:rFonts w:hint="eastAsia" w:ascii="宋体" w:hAnsi="宋体"/>
        </w:rPr>
        <w:t>2.6道德行为</w:t>
      </w:r>
      <w:bookmarkEnd w:id="19"/>
    </w:p>
    <w:p>
      <w:pPr>
        <w:spacing w:line="360" w:lineRule="auto"/>
        <w:ind w:firstLine="480" w:firstLineChars="200"/>
        <w:rPr>
          <w:rFonts w:hint="eastAsia" w:ascii="宋体" w:hAnsi="宋体"/>
          <w:sz w:val="24"/>
        </w:rPr>
      </w:pPr>
      <w:r>
        <w:rPr>
          <w:rFonts w:hint="eastAsia" w:ascii="宋体" w:hAnsi="宋体"/>
          <w:sz w:val="24"/>
        </w:rPr>
        <w:t>为</w:t>
      </w:r>
      <w:r>
        <w:rPr>
          <w:rFonts w:ascii="宋体" w:hAnsi="宋体"/>
          <w:sz w:val="24"/>
        </w:rPr>
        <w:t>树立诚信守法的企业形象，公司制定发放了</w:t>
      </w:r>
      <w:r>
        <w:rPr>
          <w:rFonts w:hint="eastAsia" w:ascii="宋体" w:hAnsi="宋体"/>
          <w:sz w:val="24"/>
        </w:rPr>
        <w:t>《员工</w:t>
      </w:r>
      <w:r>
        <w:rPr>
          <w:rFonts w:ascii="宋体" w:hAnsi="宋体"/>
          <w:sz w:val="24"/>
        </w:rPr>
        <w:t>手册》，明确员工道德行为基本规范要求。公司把诚信作为新员工入职的首要测评因素</w:t>
      </w:r>
      <w:r>
        <w:rPr>
          <w:rFonts w:hint="eastAsia" w:ascii="宋体" w:hAnsi="宋体"/>
          <w:sz w:val="24"/>
        </w:rPr>
        <w:t>，</w:t>
      </w:r>
      <w:r>
        <w:rPr>
          <w:rFonts w:ascii="宋体" w:hAnsi="宋体"/>
          <w:sz w:val="24"/>
        </w:rPr>
        <w:t>严</w:t>
      </w:r>
      <w:r>
        <w:rPr>
          <w:rFonts w:hint="eastAsia" w:ascii="宋体" w:hAnsi="宋体"/>
          <w:sz w:val="24"/>
        </w:rPr>
        <w:t>把</w:t>
      </w:r>
      <w:r>
        <w:rPr>
          <w:rFonts w:ascii="宋体" w:hAnsi="宋体"/>
          <w:sz w:val="24"/>
        </w:rPr>
        <w:t>入口关，对新员工进行诚信相</w:t>
      </w:r>
      <w:r>
        <w:rPr>
          <w:rFonts w:hint="eastAsia" w:ascii="宋体" w:hAnsi="宋体"/>
          <w:sz w:val="24"/>
        </w:rPr>
        <w:t>关</w:t>
      </w:r>
      <w:r>
        <w:rPr>
          <w:rFonts w:ascii="宋体" w:hAnsi="宋体"/>
          <w:sz w:val="24"/>
        </w:rPr>
        <w:t>内容的培训；</w:t>
      </w:r>
      <w:r>
        <w:rPr>
          <w:rFonts w:hint="eastAsia" w:ascii="宋体" w:hAnsi="宋体"/>
          <w:sz w:val="24"/>
        </w:rPr>
        <w:t>营</w:t>
      </w:r>
      <w:r>
        <w:rPr>
          <w:rFonts w:ascii="宋体" w:hAnsi="宋体"/>
          <w:sz w:val="24"/>
        </w:rPr>
        <w:t>销</w:t>
      </w:r>
      <w:r>
        <w:rPr>
          <w:rFonts w:hint="eastAsia" w:ascii="宋体" w:hAnsi="宋体"/>
          <w:sz w:val="24"/>
        </w:rPr>
        <w:t>人</w:t>
      </w:r>
      <w:r>
        <w:rPr>
          <w:rFonts w:ascii="宋体" w:hAnsi="宋体"/>
          <w:sz w:val="24"/>
        </w:rPr>
        <w:t>员在恪守诚信准则的</w:t>
      </w:r>
      <w:r>
        <w:rPr>
          <w:rFonts w:hint="eastAsia" w:ascii="宋体" w:hAnsi="宋体"/>
          <w:sz w:val="24"/>
        </w:rPr>
        <w:t>同时</w:t>
      </w:r>
      <w:r>
        <w:rPr>
          <w:rFonts w:ascii="宋体" w:hAnsi="宋体"/>
          <w:sz w:val="24"/>
        </w:rPr>
        <w:t>，还把这种理念传递</w:t>
      </w:r>
      <w:r>
        <w:rPr>
          <w:rFonts w:hint="eastAsia" w:ascii="宋体" w:hAnsi="宋体"/>
          <w:sz w:val="24"/>
        </w:rPr>
        <w:t>给</w:t>
      </w:r>
      <w:r>
        <w:rPr>
          <w:rFonts w:ascii="宋体" w:hAnsi="宋体"/>
          <w:sz w:val="24"/>
        </w:rPr>
        <w:t>客户，使诚</w:t>
      </w:r>
      <w:r>
        <w:rPr>
          <w:rFonts w:hint="eastAsia" w:ascii="宋体" w:hAnsi="宋体"/>
          <w:sz w:val="24"/>
        </w:rPr>
        <w:t>信</w:t>
      </w:r>
      <w:r>
        <w:rPr>
          <w:rFonts w:ascii="宋体" w:hAnsi="宋体"/>
          <w:sz w:val="24"/>
        </w:rPr>
        <w:t>在社会更大范围内得到传播。</w:t>
      </w:r>
    </w:p>
    <w:p>
      <w:pPr>
        <w:spacing w:line="360" w:lineRule="auto"/>
        <w:rPr>
          <w:rFonts w:hint="eastAsia" w:ascii="宋体" w:hAnsi="宋体"/>
          <w:b/>
          <w:sz w:val="24"/>
        </w:rPr>
      </w:pPr>
      <w:r>
        <w:rPr>
          <w:rFonts w:ascii="宋体" w:hAnsi="宋体"/>
          <w:b/>
          <w:sz w:val="24"/>
        </w:rPr>
        <w:t>b)</w:t>
      </w:r>
      <w:r>
        <w:rPr>
          <w:rFonts w:hint="eastAsia" w:ascii="宋体" w:hAnsi="宋体"/>
          <w:b/>
          <w:sz w:val="24"/>
        </w:rPr>
        <w:t>监测</w:t>
      </w:r>
      <w:r>
        <w:rPr>
          <w:rFonts w:ascii="宋体" w:hAnsi="宋体"/>
          <w:b/>
          <w:sz w:val="24"/>
        </w:rPr>
        <w:t>道德行为的关键过程及指标，确保组织行为符合道德规范</w:t>
      </w:r>
    </w:p>
    <w:p>
      <w:pPr>
        <w:spacing w:line="360" w:lineRule="auto"/>
        <w:jc w:val="center"/>
        <w:rPr>
          <w:rFonts w:ascii="宋体" w:hAnsi="宋体"/>
          <w:b/>
          <w:color w:val="000000"/>
          <w:sz w:val="24"/>
        </w:rPr>
      </w:pPr>
      <w:r>
        <w:rPr>
          <w:rFonts w:hint="eastAsia" w:ascii="宋体" w:hAnsi="宋体"/>
          <w:b/>
          <w:color w:val="000000"/>
          <w:sz w:val="24"/>
        </w:rPr>
        <w:t>图表-12 公司道德行为监测过程及指标</w:t>
      </w:r>
    </w:p>
    <w:tbl>
      <w:tblPr>
        <w:tblStyle w:val="18"/>
        <w:tblW w:w="8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134"/>
        <w:gridCol w:w="1276"/>
        <w:gridCol w:w="3697"/>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blHeader/>
          <w:jc w:val="center"/>
        </w:trPr>
        <w:tc>
          <w:tcPr>
            <w:tcW w:w="709" w:type="dxa"/>
            <w:tcBorders>
              <w:right w:val="single" w:color="auto" w:sz="4" w:space="0"/>
            </w:tcBorders>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szCs w:val="21"/>
              </w:rPr>
              <w:t>类型</w:t>
            </w:r>
          </w:p>
        </w:tc>
        <w:tc>
          <w:tcPr>
            <w:tcW w:w="1134" w:type="dxa"/>
            <w:tcBorders>
              <w:right w:val="single" w:color="auto" w:sz="4" w:space="0"/>
            </w:tcBorders>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szCs w:val="21"/>
              </w:rPr>
              <w:t>监督对象</w:t>
            </w:r>
          </w:p>
        </w:tc>
        <w:tc>
          <w:tcPr>
            <w:tcW w:w="1276" w:type="dxa"/>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szCs w:val="21"/>
              </w:rPr>
              <w:t>责任部门</w:t>
            </w:r>
          </w:p>
        </w:tc>
        <w:tc>
          <w:tcPr>
            <w:tcW w:w="3697" w:type="dxa"/>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kern w:val="0"/>
                <w:szCs w:val="21"/>
              </w:rPr>
              <w:t>测量方法</w:t>
            </w:r>
          </w:p>
        </w:tc>
        <w:tc>
          <w:tcPr>
            <w:tcW w:w="1676" w:type="dxa"/>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kern w:val="0"/>
                <w:szCs w:val="21"/>
              </w:rPr>
              <w:t>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09" w:type="dxa"/>
            <w:vMerge w:val="restart"/>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组织内部</w:t>
            </w: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公司高层</w:t>
            </w:r>
          </w:p>
          <w:p>
            <w:pPr>
              <w:autoSpaceDE w:val="0"/>
              <w:autoSpaceDN w:val="0"/>
              <w:jc w:val="center"/>
              <w:rPr>
                <w:rFonts w:ascii="宋体" w:hAnsi="宋体"/>
                <w:color w:val="000000"/>
                <w:szCs w:val="21"/>
              </w:rPr>
            </w:pPr>
            <w:r>
              <w:rPr>
                <w:rFonts w:ascii="宋体" w:hAnsi="宋体"/>
                <w:color w:val="000000"/>
                <w:szCs w:val="21"/>
              </w:rPr>
              <w:t>公司中层</w:t>
            </w:r>
          </w:p>
        </w:tc>
        <w:tc>
          <w:tcPr>
            <w:tcW w:w="1276" w:type="dxa"/>
            <w:noWrap w:val="0"/>
            <w:vAlign w:val="center"/>
          </w:tcPr>
          <w:p>
            <w:pPr>
              <w:autoSpaceDE w:val="0"/>
              <w:autoSpaceDN w:val="0"/>
              <w:jc w:val="center"/>
              <w:rPr>
                <w:rFonts w:hint="eastAsia" w:ascii="宋体" w:hAnsi="宋体"/>
                <w:color w:val="000000"/>
                <w:szCs w:val="21"/>
              </w:rPr>
            </w:pPr>
            <w:r>
              <w:rPr>
                <w:rFonts w:ascii="宋体" w:hAnsi="宋体"/>
                <w:color w:val="000000"/>
                <w:szCs w:val="21"/>
              </w:rPr>
              <w:t>各部门</w:t>
            </w:r>
          </w:p>
          <w:p>
            <w:pPr>
              <w:autoSpaceDE w:val="0"/>
              <w:autoSpaceDN w:val="0"/>
              <w:jc w:val="center"/>
              <w:rPr>
                <w:rFonts w:ascii="宋体" w:hAnsi="宋体"/>
                <w:color w:val="000000"/>
                <w:szCs w:val="21"/>
              </w:rPr>
            </w:pPr>
            <w:r>
              <w:rPr>
                <w:rFonts w:ascii="宋体" w:hAnsi="宋体"/>
                <w:color w:val="000000"/>
                <w:szCs w:val="21"/>
              </w:rPr>
              <w:t>领导</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随时接受全员监督举报</w:t>
            </w:r>
          </w:p>
        </w:tc>
        <w:tc>
          <w:tcPr>
            <w:tcW w:w="1676" w:type="dxa"/>
            <w:noWrap w:val="0"/>
            <w:vAlign w:val="center"/>
          </w:tcPr>
          <w:p>
            <w:pPr>
              <w:widowControl/>
              <w:jc w:val="center"/>
              <w:rPr>
                <w:rFonts w:ascii="宋体" w:hAnsi="宋体"/>
                <w:color w:val="000000"/>
                <w:kern w:val="0"/>
                <w:szCs w:val="21"/>
              </w:rPr>
            </w:pPr>
            <w:r>
              <w:rPr>
                <w:rFonts w:ascii="宋体" w:hAnsi="宋体"/>
                <w:color w:val="000000"/>
                <w:kern w:val="0"/>
                <w:szCs w:val="21"/>
              </w:rPr>
              <w:t>违纪违法事件</w:t>
            </w:r>
          </w:p>
          <w:p>
            <w:pPr>
              <w:widowControl/>
              <w:jc w:val="center"/>
              <w:rPr>
                <w:rFonts w:ascii="宋体" w:hAnsi="宋体"/>
                <w:color w:val="000000"/>
                <w:kern w:val="0"/>
                <w:szCs w:val="21"/>
              </w:rPr>
            </w:pPr>
            <w:r>
              <w:rPr>
                <w:rFonts w:ascii="宋体" w:hAnsi="宋体"/>
                <w:color w:val="000000"/>
                <w:kern w:val="0"/>
                <w:szCs w:val="21"/>
              </w:rPr>
              <w:t>重大经营活动违规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09" w:type="dxa"/>
            <w:vMerge w:val="continue"/>
            <w:tcBorders>
              <w:right w:val="single" w:color="auto" w:sz="4" w:space="0"/>
            </w:tcBorders>
            <w:noWrap w:val="0"/>
            <w:vAlign w:val="center"/>
          </w:tcPr>
          <w:p>
            <w:pPr>
              <w:autoSpaceDE w:val="0"/>
              <w:autoSpaceDN w:val="0"/>
              <w:jc w:val="center"/>
              <w:rPr>
                <w:rFonts w:ascii="宋体" w:hAnsi="宋体"/>
                <w:color w:val="000000"/>
                <w:szCs w:val="21"/>
              </w:rPr>
            </w:pP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普通员工</w:t>
            </w:r>
          </w:p>
        </w:tc>
        <w:tc>
          <w:tcPr>
            <w:tcW w:w="1276" w:type="dxa"/>
            <w:noWrap w:val="0"/>
            <w:vAlign w:val="center"/>
          </w:tcPr>
          <w:p>
            <w:pPr>
              <w:autoSpaceDE w:val="0"/>
              <w:autoSpaceDN w:val="0"/>
              <w:jc w:val="center"/>
              <w:rPr>
                <w:rFonts w:ascii="宋体" w:hAnsi="宋体"/>
                <w:color w:val="000000"/>
                <w:szCs w:val="21"/>
              </w:rPr>
            </w:pPr>
            <w:r>
              <w:rPr>
                <w:rFonts w:hint="eastAsia" w:ascii="宋体" w:hAnsi="宋体"/>
                <w:color w:val="000000"/>
                <w:szCs w:val="21"/>
              </w:rPr>
              <w:t>办公室</w:t>
            </w:r>
            <w:r>
              <w:rPr>
                <w:rFonts w:ascii="宋体" w:hAnsi="宋体"/>
                <w:color w:val="000000"/>
                <w:szCs w:val="21"/>
              </w:rPr>
              <w:t>等</w:t>
            </w:r>
          </w:p>
        </w:tc>
        <w:tc>
          <w:tcPr>
            <w:tcW w:w="3697" w:type="dxa"/>
            <w:noWrap w:val="0"/>
            <w:vAlign w:val="center"/>
          </w:tcPr>
          <w:p>
            <w:pPr>
              <w:autoSpaceDE w:val="0"/>
              <w:autoSpaceDN w:val="0"/>
              <w:rPr>
                <w:rFonts w:ascii="宋体" w:hAnsi="宋体"/>
                <w:color w:val="000000"/>
                <w:szCs w:val="21"/>
              </w:rPr>
            </w:pPr>
            <w:r>
              <w:rPr>
                <w:rFonts w:hint="eastAsia" w:ascii="宋体" w:hAnsi="宋体"/>
                <w:color w:val="000000"/>
                <w:szCs w:val="21"/>
              </w:rPr>
              <w:t>办公室</w:t>
            </w:r>
            <w:r>
              <w:rPr>
                <w:rFonts w:ascii="宋体" w:hAnsi="宋体"/>
                <w:color w:val="000000"/>
                <w:szCs w:val="21"/>
              </w:rPr>
              <w:t>等部门做好员工道德行为相关教育工作，开展</w:t>
            </w:r>
            <w:r>
              <w:rPr>
                <w:rFonts w:ascii="宋体" w:hAnsi="宋体"/>
                <w:color w:val="000000"/>
                <w:kern w:val="0"/>
                <w:szCs w:val="21"/>
              </w:rPr>
              <w:t>全员监督举报</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不文明行为</w:t>
            </w:r>
          </w:p>
          <w:p>
            <w:pPr>
              <w:autoSpaceDE w:val="0"/>
              <w:autoSpaceDN w:val="0"/>
              <w:jc w:val="center"/>
              <w:rPr>
                <w:rFonts w:ascii="宋体" w:hAnsi="宋体"/>
                <w:color w:val="000000"/>
                <w:kern w:val="0"/>
                <w:szCs w:val="21"/>
              </w:rPr>
            </w:pPr>
            <w:r>
              <w:rPr>
                <w:rFonts w:ascii="宋体" w:hAnsi="宋体"/>
                <w:color w:val="000000"/>
                <w:kern w:val="0"/>
                <w:szCs w:val="21"/>
              </w:rPr>
              <w:t>工作态度</w:t>
            </w:r>
          </w:p>
          <w:p>
            <w:pPr>
              <w:autoSpaceDE w:val="0"/>
              <w:autoSpaceDN w:val="0"/>
              <w:jc w:val="center"/>
              <w:rPr>
                <w:rFonts w:ascii="宋体" w:hAnsi="宋体"/>
                <w:color w:val="000000"/>
                <w:szCs w:val="21"/>
              </w:rPr>
            </w:pPr>
            <w:r>
              <w:rPr>
                <w:rFonts w:ascii="宋体" w:hAnsi="宋体"/>
                <w:color w:val="000000"/>
                <w:kern w:val="0"/>
                <w:szCs w:val="21"/>
              </w:rPr>
              <w:t>违纪违法情况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组织之间</w:t>
            </w: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供应商</w:t>
            </w:r>
          </w:p>
        </w:tc>
        <w:tc>
          <w:tcPr>
            <w:tcW w:w="1276" w:type="dxa"/>
            <w:noWrap w:val="0"/>
            <w:vAlign w:val="center"/>
          </w:tcPr>
          <w:p>
            <w:pPr>
              <w:autoSpaceDE w:val="0"/>
              <w:autoSpaceDN w:val="0"/>
              <w:jc w:val="center"/>
              <w:rPr>
                <w:rFonts w:ascii="宋体" w:hAnsi="宋体"/>
                <w:color w:val="000000"/>
                <w:szCs w:val="21"/>
              </w:rPr>
            </w:pPr>
            <w:r>
              <w:rPr>
                <w:rFonts w:hint="eastAsia" w:ascii="宋体" w:hAnsi="宋体"/>
                <w:color w:val="000000"/>
                <w:szCs w:val="21"/>
              </w:rPr>
              <w:t>采购部</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遵守供应商管理相关制度，</w:t>
            </w:r>
            <w:r>
              <w:rPr>
                <w:rFonts w:hint="eastAsia" w:ascii="宋体" w:hAnsi="宋体"/>
                <w:color w:val="000000"/>
                <w:kern w:val="0"/>
                <w:szCs w:val="21"/>
              </w:rPr>
              <w:t>严格</w:t>
            </w:r>
            <w:r>
              <w:rPr>
                <w:rFonts w:ascii="宋体" w:hAnsi="宋体"/>
                <w:color w:val="000000"/>
                <w:kern w:val="0"/>
                <w:szCs w:val="21"/>
              </w:rPr>
              <w:t>履行合同；评估供应商的综合满意度</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合同履约率</w:t>
            </w:r>
          </w:p>
          <w:p>
            <w:pPr>
              <w:autoSpaceDE w:val="0"/>
              <w:autoSpaceDN w:val="0"/>
              <w:jc w:val="center"/>
              <w:rPr>
                <w:rFonts w:ascii="宋体" w:hAnsi="宋体"/>
                <w:color w:val="000000"/>
                <w:kern w:val="0"/>
                <w:szCs w:val="21"/>
              </w:rPr>
            </w:pPr>
            <w:r>
              <w:rPr>
                <w:rFonts w:ascii="宋体" w:hAnsi="宋体"/>
                <w:color w:val="000000"/>
                <w:kern w:val="0"/>
                <w:szCs w:val="21"/>
              </w:rPr>
              <w:t>及时付款率</w:t>
            </w:r>
          </w:p>
          <w:p>
            <w:pPr>
              <w:autoSpaceDE w:val="0"/>
              <w:autoSpaceDN w:val="0"/>
              <w:jc w:val="center"/>
              <w:rPr>
                <w:rFonts w:ascii="宋体" w:hAnsi="宋体"/>
                <w:color w:val="000000"/>
                <w:szCs w:val="21"/>
              </w:rPr>
            </w:pPr>
            <w:r>
              <w:rPr>
                <w:rFonts w:ascii="宋体" w:hAnsi="宋体"/>
                <w:color w:val="000000"/>
                <w:kern w:val="0"/>
                <w:szCs w:val="21"/>
              </w:rPr>
              <w:t>综合满意度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right w:val="single" w:color="auto" w:sz="4" w:space="0"/>
            </w:tcBorders>
            <w:noWrap w:val="0"/>
            <w:vAlign w:val="center"/>
          </w:tcPr>
          <w:p>
            <w:pPr>
              <w:autoSpaceDE w:val="0"/>
              <w:autoSpaceDN w:val="0"/>
              <w:jc w:val="center"/>
              <w:rPr>
                <w:rFonts w:ascii="宋体" w:hAnsi="宋体"/>
                <w:color w:val="000000"/>
                <w:szCs w:val="21"/>
              </w:rPr>
            </w:pP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顾客</w:t>
            </w:r>
          </w:p>
        </w:tc>
        <w:tc>
          <w:tcPr>
            <w:tcW w:w="1276" w:type="dxa"/>
            <w:noWrap w:val="0"/>
            <w:vAlign w:val="center"/>
          </w:tcPr>
          <w:p>
            <w:pPr>
              <w:autoSpaceDE w:val="0"/>
              <w:autoSpaceDN w:val="0"/>
              <w:ind w:firstLine="210" w:firstLineChars="100"/>
              <w:rPr>
                <w:rFonts w:hint="eastAsia" w:ascii="宋体" w:hAnsi="宋体"/>
                <w:color w:val="000000"/>
                <w:szCs w:val="21"/>
              </w:rPr>
            </w:pPr>
            <w:r>
              <w:rPr>
                <w:rFonts w:hint="eastAsia" w:ascii="宋体" w:hAnsi="宋体"/>
                <w:color w:val="000000"/>
                <w:szCs w:val="21"/>
                <w:lang w:val="en-US" w:eastAsia="zh-CN"/>
              </w:rPr>
              <w:t>销售</w:t>
            </w:r>
            <w:r>
              <w:rPr>
                <w:rFonts w:hint="eastAsia" w:ascii="宋体" w:hAnsi="宋体"/>
                <w:color w:val="000000"/>
                <w:szCs w:val="21"/>
              </w:rPr>
              <w:t>部</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监督合同合规性，关注合同履约率，定期测量顾客满意度</w:t>
            </w:r>
            <w:r>
              <w:rPr>
                <w:rFonts w:hint="eastAsia" w:ascii="宋体" w:hAnsi="宋体"/>
                <w:color w:val="000000"/>
                <w:kern w:val="0"/>
                <w:szCs w:val="21"/>
              </w:rPr>
              <w:t>，</w:t>
            </w:r>
            <w:r>
              <w:rPr>
                <w:rFonts w:ascii="宋体" w:hAnsi="宋体"/>
                <w:color w:val="000000"/>
                <w:kern w:val="0"/>
                <w:szCs w:val="21"/>
              </w:rPr>
              <w:t>增强顾客满意</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合同履约率</w:t>
            </w:r>
          </w:p>
          <w:p>
            <w:pPr>
              <w:autoSpaceDE w:val="0"/>
              <w:autoSpaceDN w:val="0"/>
              <w:jc w:val="center"/>
              <w:rPr>
                <w:rFonts w:ascii="宋体" w:hAnsi="宋体"/>
                <w:color w:val="000000"/>
                <w:kern w:val="0"/>
                <w:szCs w:val="21"/>
              </w:rPr>
            </w:pPr>
            <w:r>
              <w:rPr>
                <w:rFonts w:ascii="宋体" w:hAnsi="宋体"/>
                <w:color w:val="000000"/>
                <w:kern w:val="0"/>
                <w:szCs w:val="21"/>
              </w:rPr>
              <w:t>产品准时交货率</w:t>
            </w:r>
          </w:p>
          <w:p>
            <w:pPr>
              <w:autoSpaceDE w:val="0"/>
              <w:autoSpaceDN w:val="0"/>
              <w:jc w:val="center"/>
              <w:rPr>
                <w:rFonts w:ascii="宋体" w:hAnsi="宋体"/>
                <w:color w:val="000000"/>
                <w:szCs w:val="21"/>
              </w:rPr>
            </w:pPr>
            <w:r>
              <w:rPr>
                <w:rFonts w:ascii="宋体" w:hAnsi="宋体"/>
                <w:color w:val="000000"/>
                <w:kern w:val="0"/>
                <w:szCs w:val="21"/>
              </w:rPr>
              <w:t>顾客满意度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09" w:type="dxa"/>
            <w:vMerge w:val="restart"/>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组织外部</w:t>
            </w: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政府</w:t>
            </w:r>
          </w:p>
        </w:tc>
        <w:tc>
          <w:tcPr>
            <w:tcW w:w="1276" w:type="dxa"/>
            <w:noWrap w:val="0"/>
            <w:vAlign w:val="center"/>
          </w:tcPr>
          <w:p>
            <w:pPr>
              <w:autoSpaceDE w:val="0"/>
              <w:autoSpaceDN w:val="0"/>
              <w:jc w:val="center"/>
              <w:rPr>
                <w:rFonts w:hint="eastAsia" w:ascii="宋体" w:hAnsi="宋体"/>
                <w:color w:val="000000"/>
                <w:szCs w:val="21"/>
              </w:rPr>
            </w:pPr>
            <w:r>
              <w:rPr>
                <w:rFonts w:hint="eastAsia" w:ascii="宋体" w:hAnsi="宋体"/>
                <w:color w:val="000000"/>
                <w:szCs w:val="21"/>
              </w:rPr>
              <w:t>财务部</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按照《中华人民共和国税法》等法律法规执行依法纳税义务</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按时纳税率</w:t>
            </w:r>
          </w:p>
          <w:p>
            <w:pPr>
              <w:autoSpaceDE w:val="0"/>
              <w:autoSpaceDN w:val="0"/>
              <w:jc w:val="center"/>
              <w:rPr>
                <w:rFonts w:ascii="宋体" w:hAnsi="宋体"/>
                <w:color w:val="000000"/>
                <w:kern w:val="0"/>
                <w:szCs w:val="21"/>
              </w:rPr>
            </w:pPr>
            <w:r>
              <w:rPr>
                <w:rFonts w:ascii="宋体" w:hAnsi="宋体"/>
                <w:color w:val="000000"/>
                <w:kern w:val="0"/>
                <w:szCs w:val="21"/>
              </w:rPr>
              <w:t>依法纳税率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right w:val="single" w:color="auto" w:sz="4" w:space="0"/>
            </w:tcBorders>
            <w:noWrap w:val="0"/>
            <w:vAlign w:val="center"/>
          </w:tcPr>
          <w:p>
            <w:pPr>
              <w:autoSpaceDE w:val="0"/>
              <w:autoSpaceDN w:val="0"/>
              <w:jc w:val="center"/>
              <w:rPr>
                <w:rFonts w:ascii="宋体" w:hAnsi="宋体"/>
                <w:color w:val="000000"/>
                <w:szCs w:val="21"/>
              </w:rPr>
            </w:pP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社会</w:t>
            </w:r>
          </w:p>
        </w:tc>
        <w:tc>
          <w:tcPr>
            <w:tcW w:w="1276" w:type="dxa"/>
            <w:noWrap w:val="0"/>
            <w:vAlign w:val="center"/>
          </w:tcPr>
          <w:p>
            <w:pPr>
              <w:autoSpaceDE w:val="0"/>
              <w:autoSpaceDN w:val="0"/>
              <w:jc w:val="center"/>
              <w:rPr>
                <w:rFonts w:hint="eastAsia" w:ascii="宋体" w:hAnsi="宋体"/>
                <w:color w:val="000000"/>
                <w:szCs w:val="21"/>
              </w:rPr>
            </w:pPr>
            <w:r>
              <w:rPr>
                <w:rFonts w:hint="eastAsia" w:ascii="宋体" w:hAnsi="宋体"/>
                <w:color w:val="000000"/>
                <w:szCs w:val="21"/>
              </w:rPr>
              <w:t>安全办</w:t>
            </w:r>
          </w:p>
        </w:tc>
        <w:tc>
          <w:tcPr>
            <w:tcW w:w="3697" w:type="dxa"/>
            <w:noWrap w:val="0"/>
            <w:vAlign w:val="center"/>
          </w:tcPr>
          <w:p>
            <w:pPr>
              <w:autoSpaceDE w:val="0"/>
              <w:autoSpaceDN w:val="0"/>
              <w:rPr>
                <w:rFonts w:ascii="宋体" w:hAnsi="宋体"/>
                <w:color w:val="000000"/>
                <w:kern w:val="0"/>
                <w:szCs w:val="21"/>
              </w:rPr>
            </w:pPr>
            <w:r>
              <w:rPr>
                <w:rFonts w:ascii="宋体" w:hAnsi="宋体"/>
                <w:color w:val="000000"/>
                <w:kern w:val="0"/>
                <w:szCs w:val="21"/>
              </w:rPr>
              <w:t>按《</w:t>
            </w:r>
            <w:r>
              <w:rPr>
                <w:rFonts w:hint="eastAsia" w:ascii="宋体" w:hAnsi="宋体"/>
                <w:color w:val="000000"/>
                <w:kern w:val="0"/>
                <w:szCs w:val="21"/>
              </w:rPr>
              <w:t>环境</w:t>
            </w:r>
            <w:r>
              <w:rPr>
                <w:rFonts w:ascii="宋体" w:hAnsi="宋体"/>
                <w:color w:val="000000"/>
                <w:kern w:val="0"/>
                <w:szCs w:val="21"/>
              </w:rPr>
              <w:t>保护法》、《节约能源法》《清洁生产促进法》等标准保护环境</w:t>
            </w:r>
          </w:p>
        </w:tc>
        <w:tc>
          <w:tcPr>
            <w:tcW w:w="1676" w:type="dxa"/>
            <w:noWrap w:val="0"/>
            <w:vAlign w:val="center"/>
          </w:tcPr>
          <w:p>
            <w:pPr>
              <w:autoSpaceDE w:val="0"/>
              <w:autoSpaceDN w:val="0"/>
              <w:jc w:val="center"/>
              <w:rPr>
                <w:rFonts w:ascii="宋体" w:hAnsi="宋体"/>
                <w:color w:val="000000"/>
                <w:szCs w:val="21"/>
              </w:rPr>
            </w:pPr>
            <w:r>
              <w:rPr>
                <w:rFonts w:ascii="宋体" w:hAnsi="宋体"/>
                <w:color w:val="000000"/>
                <w:kern w:val="0"/>
                <w:szCs w:val="21"/>
              </w:rPr>
              <w:t>节能减排目标</w:t>
            </w:r>
            <w:r>
              <w:rPr>
                <w:rFonts w:hint="eastAsia" w:ascii="宋体" w:hAnsi="宋体"/>
                <w:color w:val="000000"/>
                <w:kern w:val="0"/>
                <w:szCs w:val="21"/>
              </w:rPr>
              <w:t>、</w:t>
            </w:r>
            <w:r>
              <w:rPr>
                <w:rFonts w:ascii="宋体" w:hAnsi="宋体"/>
                <w:color w:val="000000"/>
                <w:kern w:val="0"/>
                <w:szCs w:val="21"/>
              </w:rPr>
              <w:t>指标</w:t>
            </w:r>
          </w:p>
        </w:tc>
      </w:tr>
    </w:tbl>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公司严格执行各项法律法规，努力与客户、供方等相关方建立和维持良好的合作关系，不断提高企业美誉度，树立良好企业形象。</w:t>
      </w:r>
    </w:p>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1）顾客：新客户每年增加,没有发生任何产品质量问题和其他原因合同上的纠纷。</w:t>
      </w:r>
    </w:p>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2）供方：合同履约率为100%，没有发生一起因货款问题而引起的司法纠纷。</w:t>
      </w:r>
    </w:p>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3）环保：从没发生过因环保引起的周边群众投诉,多年来受到环保局的好评。</w:t>
      </w:r>
    </w:p>
    <w:p>
      <w:pPr>
        <w:spacing w:line="360" w:lineRule="auto"/>
        <w:ind w:firstLine="420"/>
        <w:rPr>
          <w:rFonts w:hint="eastAsia" w:ascii="宋体" w:hAnsi="宋体" w:cs="仿宋_GB2312"/>
          <w:bCs/>
          <w:kern w:val="0"/>
          <w:sz w:val="24"/>
        </w:rPr>
      </w:pPr>
      <w:r>
        <w:rPr>
          <w:rFonts w:hint="eastAsia" w:ascii="宋体" w:hAnsi="宋体" w:cs="仿宋_GB2312"/>
          <w:bCs/>
          <w:color w:val="000000"/>
          <w:kern w:val="0"/>
          <w:sz w:val="24"/>
        </w:rPr>
        <w:t>4）海关：</w:t>
      </w:r>
      <w:r>
        <w:rPr>
          <w:rFonts w:hint="eastAsia" w:ascii="宋体" w:hAnsi="宋体" w:cs="仿宋_GB2312"/>
          <w:bCs/>
          <w:kern w:val="0"/>
          <w:sz w:val="24"/>
        </w:rPr>
        <w:t>A类管理企业。</w:t>
      </w:r>
    </w:p>
    <w:p>
      <w:pPr>
        <w:pStyle w:val="3"/>
        <w:numPr>
          <w:ilvl w:val="0"/>
          <w:numId w:val="0"/>
        </w:numPr>
        <w:spacing w:before="0" w:after="0" w:line="360" w:lineRule="auto"/>
        <w:rPr>
          <w:rFonts w:hint="eastAsia" w:ascii="宋体" w:hAnsi="宋体"/>
        </w:rPr>
      </w:pPr>
      <w:bookmarkStart w:id="20" w:name="_Toc23239"/>
      <w:r>
        <w:rPr>
          <w:rFonts w:hint="eastAsia" w:ascii="宋体" w:hAnsi="宋体"/>
        </w:rPr>
        <w:t>2.7</w:t>
      </w:r>
      <w:bookmarkEnd w:id="20"/>
      <w:r>
        <w:rPr>
          <w:rFonts w:hint="eastAsia" w:ascii="宋体" w:hAnsi="宋体"/>
        </w:rPr>
        <w:t>社会公益事业和公共关系</w:t>
      </w:r>
    </w:p>
    <w:p>
      <w:pPr>
        <w:pStyle w:val="48"/>
        <w:widowControl/>
        <w:spacing w:line="360" w:lineRule="auto"/>
        <w:ind w:firstLineChars="0"/>
        <w:jc w:val="left"/>
        <w:rPr>
          <w:rFonts w:hint="eastAsia" w:ascii="宋体" w:hAnsi="宋体" w:eastAsia="宋体"/>
          <w:szCs w:val="24"/>
        </w:rPr>
      </w:pPr>
      <w:r>
        <w:rPr>
          <w:rFonts w:hint="eastAsia" w:ascii="宋体" w:hAnsi="宋体" w:eastAsia="宋体"/>
          <w:szCs w:val="24"/>
        </w:rPr>
        <w:t>公司依法纳税，</w:t>
      </w:r>
      <w:r>
        <w:rPr>
          <w:rFonts w:hint="eastAsia" w:ascii="宋体" w:hAnsi="宋体" w:eastAsia="宋体"/>
          <w:szCs w:val="24"/>
          <w:lang w:eastAsia="zh-CN"/>
        </w:rPr>
        <w:t>202</w:t>
      </w:r>
      <w:r>
        <w:rPr>
          <w:rFonts w:hint="eastAsia" w:ascii="宋体" w:hAnsi="宋体" w:eastAsia="宋体"/>
          <w:szCs w:val="24"/>
          <w:lang w:val="en-US" w:eastAsia="zh-CN"/>
        </w:rPr>
        <w:t>2</w:t>
      </w:r>
      <w:r>
        <w:rPr>
          <w:rFonts w:hint="eastAsia" w:ascii="宋体" w:hAnsi="宋体" w:eastAsia="宋体"/>
          <w:szCs w:val="24"/>
        </w:rPr>
        <w:t>年公司纳税达</w:t>
      </w:r>
      <w:r>
        <w:rPr>
          <w:rFonts w:hint="eastAsia" w:ascii="宋体" w:hAnsi="宋体" w:eastAsia="宋体"/>
          <w:szCs w:val="24"/>
          <w:lang w:val="en-US" w:eastAsia="zh-CN"/>
        </w:rPr>
        <w:t>1458</w:t>
      </w:r>
      <w:r>
        <w:rPr>
          <w:rFonts w:hint="eastAsia" w:ascii="宋体" w:hAnsi="宋体" w:eastAsia="宋体"/>
          <w:szCs w:val="24"/>
        </w:rPr>
        <w:t>万元。</w:t>
      </w:r>
    </w:p>
    <w:p>
      <w:pPr>
        <w:pStyle w:val="48"/>
        <w:widowControl/>
        <w:spacing w:line="360" w:lineRule="auto"/>
        <w:ind w:firstLineChars="0"/>
        <w:jc w:val="left"/>
        <w:rPr>
          <w:rFonts w:ascii="宋体" w:hAnsi="宋体" w:eastAsia="宋体"/>
          <w:szCs w:val="24"/>
        </w:rPr>
      </w:pPr>
      <w:r>
        <w:rPr>
          <w:rFonts w:ascii="宋体" w:hAnsi="宋体" w:eastAsia="宋体"/>
          <w:szCs w:val="24"/>
        </w:rPr>
        <w:t>公司热心公益</w:t>
      </w:r>
      <w:r>
        <w:rPr>
          <w:rFonts w:hint="eastAsia" w:ascii="宋体" w:hAnsi="宋体" w:eastAsia="宋体"/>
          <w:szCs w:val="24"/>
        </w:rPr>
        <w:t>慈</w:t>
      </w:r>
      <w:r>
        <w:rPr>
          <w:rFonts w:ascii="宋体" w:hAnsi="宋体" w:eastAsia="宋体"/>
          <w:szCs w:val="24"/>
        </w:rPr>
        <w:t>善事业，积极承担企业的社会责任</w:t>
      </w:r>
      <w:r>
        <w:rPr>
          <w:rFonts w:hint="eastAsia" w:ascii="宋体" w:hAnsi="宋体" w:eastAsia="宋体"/>
          <w:szCs w:val="24"/>
          <w:lang w:eastAsia="zh-CN"/>
        </w:rPr>
        <w:t>，</w:t>
      </w:r>
      <w:r>
        <w:rPr>
          <w:rFonts w:hint="eastAsia" w:ascii="宋体" w:hAnsi="宋体" w:eastAsia="宋体"/>
          <w:szCs w:val="24"/>
          <w:lang w:val="en-US" w:eastAsia="zh-CN"/>
        </w:rPr>
        <w:t>2022年累计公益款项45万</w:t>
      </w:r>
      <w:r>
        <w:rPr>
          <w:rFonts w:ascii="宋体" w:hAnsi="宋体" w:eastAsia="宋体"/>
          <w:szCs w:val="24"/>
        </w:rPr>
        <w:t>。为地方各</w:t>
      </w:r>
      <w:r>
        <w:rPr>
          <w:rFonts w:hint="eastAsia" w:ascii="宋体" w:hAnsi="宋体" w:eastAsia="宋体"/>
          <w:szCs w:val="24"/>
        </w:rPr>
        <w:t>项</w:t>
      </w:r>
      <w:r>
        <w:rPr>
          <w:rFonts w:ascii="宋体" w:hAnsi="宋体" w:eastAsia="宋体"/>
          <w:szCs w:val="24"/>
        </w:rPr>
        <w:t>事业发展出谋划策</w:t>
      </w:r>
      <w:r>
        <w:rPr>
          <w:rFonts w:hint="eastAsia" w:ascii="宋体" w:hAnsi="宋体" w:eastAsia="宋体"/>
          <w:szCs w:val="24"/>
        </w:rPr>
        <w:t>、</w:t>
      </w:r>
      <w:r>
        <w:rPr>
          <w:rFonts w:ascii="宋体" w:hAnsi="宋体" w:eastAsia="宋体"/>
          <w:szCs w:val="24"/>
        </w:rPr>
        <w:t>贡献</w:t>
      </w:r>
      <w:r>
        <w:rPr>
          <w:rFonts w:hint="eastAsia" w:ascii="宋体" w:hAnsi="宋体" w:eastAsia="宋体"/>
          <w:szCs w:val="24"/>
        </w:rPr>
        <w:t>力</w:t>
      </w:r>
      <w:r>
        <w:rPr>
          <w:rFonts w:ascii="宋体" w:hAnsi="宋体" w:eastAsia="宋体"/>
          <w:szCs w:val="24"/>
        </w:rPr>
        <w:t>量。</w:t>
      </w:r>
    </w:p>
    <w:p>
      <w:pPr>
        <w:pStyle w:val="3"/>
        <w:numPr>
          <w:ilvl w:val="0"/>
          <w:numId w:val="0"/>
        </w:numPr>
        <w:spacing w:before="0" w:after="0" w:line="360" w:lineRule="auto"/>
        <w:rPr>
          <w:rFonts w:ascii="宋体" w:hAnsi="宋体"/>
          <w:sz w:val="32"/>
        </w:rPr>
      </w:pPr>
      <w:r>
        <w:rPr>
          <w:rFonts w:hint="eastAsia" w:ascii="宋体" w:hAnsi="宋体"/>
          <w:sz w:val="32"/>
        </w:rPr>
        <w:br w:type="page"/>
      </w:r>
      <w:bookmarkStart w:id="21" w:name="_Toc11035"/>
      <w:r>
        <w:rPr>
          <w:rFonts w:hint="eastAsia" w:ascii="宋体" w:hAnsi="宋体"/>
          <w:sz w:val="32"/>
        </w:rPr>
        <w:t>三、总结与展望</w:t>
      </w:r>
      <w:bookmarkEnd w:id="21"/>
    </w:p>
    <w:p>
      <w:pPr>
        <w:spacing w:line="360" w:lineRule="auto"/>
        <w:rPr>
          <w:rFonts w:ascii="宋体" w:hAnsi="宋体"/>
          <w:sz w:val="24"/>
        </w:rPr>
      </w:pPr>
      <w:r>
        <w:rPr>
          <w:rFonts w:hint="eastAsia"/>
          <w:color w:val="000000"/>
          <w:sz w:val="18"/>
          <w:szCs w:val="18"/>
        </w:rPr>
        <w:t xml:space="preserve">     </w:t>
      </w:r>
      <w:r>
        <w:rPr>
          <w:rFonts w:hint="eastAsia" w:ascii="宋体" w:hAnsi="宋体"/>
          <w:sz w:val="24"/>
          <w:lang w:eastAsia="zh-CN"/>
        </w:rPr>
        <w:t>202</w:t>
      </w:r>
      <w:r>
        <w:rPr>
          <w:rFonts w:hint="eastAsia" w:ascii="宋体" w:hAnsi="宋体"/>
          <w:sz w:val="24"/>
          <w:lang w:val="en-US" w:eastAsia="zh-CN"/>
        </w:rPr>
        <w:t>2</w:t>
      </w:r>
      <w:r>
        <w:rPr>
          <w:rFonts w:hint="eastAsia" w:ascii="宋体" w:hAnsi="宋体"/>
          <w:sz w:val="24"/>
        </w:rPr>
        <w:t>年，公司严格按照法律法规等有关规定，切实维护了股东、员工权益、在追求经济利益的同时，遵守社会公德、商业道德，提倡绿色环保，积极参与公益及慈善事业，对自身的社会责任义务付诸以行。</w:t>
      </w:r>
    </w:p>
    <w:p>
      <w:pPr>
        <w:shd w:val="clear" w:color="auto" w:fill="FFFFFF"/>
        <w:spacing w:line="360" w:lineRule="auto"/>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lang w:eastAsia="zh-CN"/>
        </w:rPr>
        <w:t>202</w:t>
      </w:r>
      <w:r>
        <w:rPr>
          <w:rFonts w:hint="eastAsia" w:ascii="宋体" w:hAnsi="宋体" w:cs="宋体"/>
          <w:color w:val="000000"/>
          <w:sz w:val="24"/>
          <w:shd w:val="clear" w:color="auto" w:fill="FFFFFF"/>
          <w:lang w:val="en-US" w:eastAsia="zh-CN"/>
        </w:rPr>
        <w:t>2</w:t>
      </w:r>
      <w:r>
        <w:rPr>
          <w:rFonts w:hint="eastAsia" w:ascii="宋体" w:hAnsi="宋体" w:cs="宋体"/>
          <w:color w:val="000000"/>
          <w:sz w:val="24"/>
          <w:shd w:val="clear" w:color="auto" w:fill="FFFFFF"/>
        </w:rPr>
        <w:t>年，是</w:t>
      </w:r>
      <w:r>
        <w:rPr>
          <w:rFonts w:hint="eastAsia" w:ascii="宋体" w:hAnsi="宋体" w:cs="宋体"/>
          <w:color w:val="000000"/>
          <w:sz w:val="24"/>
          <w:shd w:val="clear" w:color="auto" w:fill="FFFFFF"/>
          <w:lang w:val="en-US" w:eastAsia="zh-CN"/>
        </w:rPr>
        <w:t>聚杰电器</w:t>
      </w:r>
      <w:r>
        <w:rPr>
          <w:rFonts w:hint="eastAsia" w:ascii="宋体" w:hAnsi="宋体" w:cs="宋体"/>
          <w:color w:val="000000"/>
          <w:sz w:val="24"/>
          <w:shd w:val="clear" w:color="auto" w:fill="FFFFFF"/>
        </w:rPr>
        <w:t>做大做强、实现再次飞跃的重要之年。公司将深入实践科学发展观，大力弘扬实干精神，立足新起点、增创新优势，扎实推进节能减排，着力提升经济效益，服务地方经济繁荣，保障更安全、更高效、更清洁、可持续的发展，关注员工需求，关注社会弱势群体，追求环境、经济、社会综合利益最大化，继续展现创和谐、可信赖、负责任的</w:t>
      </w:r>
      <w:r>
        <w:rPr>
          <w:rFonts w:hint="eastAsia" w:ascii="宋体" w:hAnsi="宋体" w:cs="宋体"/>
          <w:color w:val="000000"/>
          <w:sz w:val="24"/>
          <w:shd w:val="clear" w:color="auto" w:fill="FFFFFF"/>
          <w:lang w:val="en-US" w:eastAsia="zh-CN"/>
        </w:rPr>
        <w:t>聚杰电器</w:t>
      </w:r>
      <w:r>
        <w:rPr>
          <w:rFonts w:hint="eastAsia" w:ascii="宋体" w:hAnsi="宋体" w:cs="宋体"/>
          <w:color w:val="000000"/>
          <w:sz w:val="24"/>
          <w:shd w:val="clear" w:color="auto" w:fill="FFFFFF"/>
        </w:rPr>
        <w:t>良好形象。</w:t>
      </w:r>
    </w:p>
    <w:p>
      <w:pPr>
        <w:spacing w:line="360" w:lineRule="auto"/>
        <w:rPr>
          <w:rFonts w:hint="eastAsia" w:ascii="宋体" w:hAnsi="宋体" w:cs="宋体"/>
          <w:color w:val="000000"/>
          <w:sz w:val="24"/>
          <w:shd w:val="clear" w:color="auto" w:fill="FFFFFF"/>
        </w:rPr>
      </w:pPr>
    </w:p>
    <w:sectPr>
      <w:footerReference r:id="rId7" w:type="first"/>
      <w:footerReference r:id="rId5" w:type="default"/>
      <w:footerReference r:id="rId6" w:type="even"/>
      <w:pgSz w:w="11906" w:h="16838"/>
      <w:pgMar w:top="1440" w:right="1800" w:bottom="1440" w:left="1800" w:header="851" w:footer="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fldChar w:fldCharType="begin"/>
    </w:r>
    <w:r>
      <w:instrText xml:space="preserve">PAGE   \* MERGEFORMAT</w:instrText>
    </w:r>
    <w:r>
      <w:fldChar w:fldCharType="separate"/>
    </w:r>
    <w:r>
      <w:rPr>
        <w:lang w:val="zh-CN"/>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w:t>
    </w:r>
    <w:r>
      <w:fldChar w:fldCharType="end"/>
    </w:r>
  </w:p>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Calibri" w:hAnsi="Calibri"/>
      </w:rPr>
      <w:t xml:space="preserve">                                                      </w:t>
    </w:r>
    <w:r>
      <w:rPr>
        <w:rFonts w:ascii="Calibri" w:hAnsi="Calibri"/>
      </w:rPr>
      <w:t xml:space="preserve"> </w:t>
    </w:r>
    <w:r>
      <w:rPr>
        <w:rFonts w:hint="eastAsia" w:ascii="Calibri" w:hAnsi="Calibri"/>
      </w:rPr>
      <w:t xml:space="preserve">            </w:t>
    </w:r>
    <w:r>
      <w:rPr>
        <w:rFonts w:hint="eastAsia" w:ascii="宋体" w:hAnsi="宋体"/>
        <w:sz w:val="21"/>
        <w:szCs w:val="21"/>
        <w:lang w:eastAsia="zh-CN"/>
      </w:rPr>
      <w:t>202</w:t>
    </w:r>
    <w:r>
      <w:rPr>
        <w:rFonts w:hint="eastAsia" w:ascii="宋体" w:hAnsi="宋体"/>
        <w:sz w:val="21"/>
        <w:szCs w:val="21"/>
        <w:lang w:val="en-US" w:eastAsia="zh-CN"/>
      </w:rPr>
      <w:t>2</w:t>
    </w:r>
    <w:r>
      <w:rPr>
        <w:rFonts w:hint="eastAsia" w:ascii="宋体" w:hAnsi="宋体"/>
        <w:sz w:val="21"/>
        <w:szCs w:val="21"/>
      </w:rPr>
      <w:t>年度社会责任报告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adjustRightInd w:val="0"/>
      <w:snapToGrid w:val="0"/>
      <w:jc w:val="left"/>
      <w:rPr>
        <w:rFonts w:ascii="宋体" w:hAnsi="宋体"/>
        <w:szCs w:val="21"/>
      </w:rPr>
    </w:pPr>
    <w:r>
      <w:rPr>
        <w:rFonts w:hint="eastAsia" w:ascii="Calibri" w:hAnsi="Calibri"/>
        <w:sz w:val="18"/>
        <w:szCs w:val="18"/>
      </w:rPr>
      <w:t xml:space="preserve">         </w:t>
    </w:r>
    <w:r>
      <w:rPr>
        <w:rFonts w:ascii="Calibri" w:hAnsi="Calibri"/>
        <w:sz w:val="18"/>
        <w:szCs w:val="18"/>
      </w:rPr>
      <w:t xml:space="preserve"> </w:t>
    </w:r>
    <w:r>
      <w:rPr>
        <w:rFonts w:hint="eastAsia" w:ascii="Calibri" w:hAnsi="Calibri"/>
        <w:sz w:val="18"/>
        <w:szCs w:val="18"/>
      </w:rPr>
      <w:t xml:space="preserve">                                                          </w:t>
    </w:r>
    <w:r>
      <w:rPr>
        <w:rFonts w:hint="eastAsia" w:ascii="宋体" w:hAnsi="宋体"/>
        <w:szCs w:val="21"/>
        <w:lang w:eastAsia="zh-CN"/>
      </w:rPr>
      <w:t>202</w:t>
    </w:r>
    <w:r>
      <w:rPr>
        <w:rFonts w:hint="eastAsia" w:ascii="宋体" w:hAnsi="宋体"/>
        <w:szCs w:val="21"/>
        <w:lang w:val="en-US" w:eastAsia="zh-CN"/>
      </w:rPr>
      <w:t>2</w:t>
    </w:r>
    <w:r>
      <w:rPr>
        <w:rFonts w:hint="eastAsia" w:ascii="宋体" w:hAnsi="宋体"/>
        <w:szCs w:val="21"/>
      </w:rPr>
      <w:t>年度社会责任报告</w:t>
    </w:r>
    <w:r>
      <w:rPr>
        <w:rFonts w:ascii="宋体" w:hAnsi="宋体"/>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E690D"/>
    <w:multiLevelType w:val="multilevel"/>
    <w:tmpl w:val="0B3E69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8A75DD"/>
    <w:multiLevelType w:val="multilevel"/>
    <w:tmpl w:val="288A75DD"/>
    <w:lvl w:ilvl="0" w:tentative="0">
      <w:start w:val="1"/>
      <w:numFmt w:val="decimal"/>
      <w:pStyle w:val="3"/>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E95C1B"/>
    <w:multiLevelType w:val="multilevel"/>
    <w:tmpl w:val="3DE95C1B"/>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9767ED"/>
    <w:multiLevelType w:val="multilevel"/>
    <w:tmpl w:val="799767ED"/>
    <w:lvl w:ilvl="0" w:tentative="0">
      <w:start w:val="1"/>
      <w:numFmt w:val="decimal"/>
      <w:pStyle w:val="1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4E1C87"/>
    <w:multiLevelType w:val="multilevel"/>
    <w:tmpl w:val="7F4E1C87"/>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ZmNhMzg4YzNiZWUxMGZlNjE5NjdlMDMwZjY0OTAifQ=="/>
  </w:docVars>
  <w:rsids>
    <w:rsidRoot w:val="00DB7C9A"/>
    <w:rsid w:val="00002461"/>
    <w:rsid w:val="0000353F"/>
    <w:rsid w:val="00004ED4"/>
    <w:rsid w:val="00016057"/>
    <w:rsid w:val="000173DD"/>
    <w:rsid w:val="00031C5E"/>
    <w:rsid w:val="000335AD"/>
    <w:rsid w:val="00034B70"/>
    <w:rsid w:val="0005564E"/>
    <w:rsid w:val="00056309"/>
    <w:rsid w:val="00063C83"/>
    <w:rsid w:val="000678F1"/>
    <w:rsid w:val="000708A3"/>
    <w:rsid w:val="000742CE"/>
    <w:rsid w:val="000763B9"/>
    <w:rsid w:val="00092D02"/>
    <w:rsid w:val="00096A89"/>
    <w:rsid w:val="000A5555"/>
    <w:rsid w:val="000C52B9"/>
    <w:rsid w:val="000C57CD"/>
    <w:rsid w:val="000D7EA3"/>
    <w:rsid w:val="000D7ED7"/>
    <w:rsid w:val="000E0C6B"/>
    <w:rsid w:val="000E469B"/>
    <w:rsid w:val="000E57FB"/>
    <w:rsid w:val="000E7820"/>
    <w:rsid w:val="000F101C"/>
    <w:rsid w:val="000F16CA"/>
    <w:rsid w:val="001107AE"/>
    <w:rsid w:val="00115819"/>
    <w:rsid w:val="00121F75"/>
    <w:rsid w:val="00124185"/>
    <w:rsid w:val="00126EC9"/>
    <w:rsid w:val="00132810"/>
    <w:rsid w:val="00140843"/>
    <w:rsid w:val="00140EF5"/>
    <w:rsid w:val="0014567F"/>
    <w:rsid w:val="00151184"/>
    <w:rsid w:val="0015626E"/>
    <w:rsid w:val="00157B00"/>
    <w:rsid w:val="0017335D"/>
    <w:rsid w:val="00195D12"/>
    <w:rsid w:val="001A0769"/>
    <w:rsid w:val="001C1AB0"/>
    <w:rsid w:val="001C2C61"/>
    <w:rsid w:val="001E304E"/>
    <w:rsid w:val="001E35EE"/>
    <w:rsid w:val="001F68C0"/>
    <w:rsid w:val="001F6F0C"/>
    <w:rsid w:val="002154DD"/>
    <w:rsid w:val="0023221F"/>
    <w:rsid w:val="0025594F"/>
    <w:rsid w:val="0025791C"/>
    <w:rsid w:val="00262CE7"/>
    <w:rsid w:val="00264AB5"/>
    <w:rsid w:val="002700C2"/>
    <w:rsid w:val="00274FC5"/>
    <w:rsid w:val="00286705"/>
    <w:rsid w:val="00292082"/>
    <w:rsid w:val="00294516"/>
    <w:rsid w:val="00295255"/>
    <w:rsid w:val="00297B6A"/>
    <w:rsid w:val="002A3A7D"/>
    <w:rsid w:val="002A54D1"/>
    <w:rsid w:val="002A7C0D"/>
    <w:rsid w:val="002B0B36"/>
    <w:rsid w:val="002C4CD5"/>
    <w:rsid w:val="002D28B6"/>
    <w:rsid w:val="002D6B5A"/>
    <w:rsid w:val="002E367C"/>
    <w:rsid w:val="002E4253"/>
    <w:rsid w:val="002F3A02"/>
    <w:rsid w:val="002F45A1"/>
    <w:rsid w:val="002F5D69"/>
    <w:rsid w:val="003023AC"/>
    <w:rsid w:val="00302922"/>
    <w:rsid w:val="0030317E"/>
    <w:rsid w:val="00307234"/>
    <w:rsid w:val="00307EA7"/>
    <w:rsid w:val="003205A3"/>
    <w:rsid w:val="00321746"/>
    <w:rsid w:val="00323242"/>
    <w:rsid w:val="00326D60"/>
    <w:rsid w:val="003274DF"/>
    <w:rsid w:val="003344CA"/>
    <w:rsid w:val="00337AF5"/>
    <w:rsid w:val="00343A13"/>
    <w:rsid w:val="003476D0"/>
    <w:rsid w:val="00351E97"/>
    <w:rsid w:val="003522D7"/>
    <w:rsid w:val="00355252"/>
    <w:rsid w:val="003569FD"/>
    <w:rsid w:val="00367D86"/>
    <w:rsid w:val="00376CB3"/>
    <w:rsid w:val="00377AE9"/>
    <w:rsid w:val="00380A71"/>
    <w:rsid w:val="00384AD6"/>
    <w:rsid w:val="00391CA8"/>
    <w:rsid w:val="003C4680"/>
    <w:rsid w:val="003D64A5"/>
    <w:rsid w:val="003D7334"/>
    <w:rsid w:val="003E3B5A"/>
    <w:rsid w:val="003E7057"/>
    <w:rsid w:val="003F0131"/>
    <w:rsid w:val="00405A96"/>
    <w:rsid w:val="00422F47"/>
    <w:rsid w:val="004232CE"/>
    <w:rsid w:val="00431341"/>
    <w:rsid w:val="00437E1C"/>
    <w:rsid w:val="00441EF2"/>
    <w:rsid w:val="00443B14"/>
    <w:rsid w:val="004516CB"/>
    <w:rsid w:val="004554FF"/>
    <w:rsid w:val="00455D74"/>
    <w:rsid w:val="00462EB6"/>
    <w:rsid w:val="00463F0F"/>
    <w:rsid w:val="00482BCE"/>
    <w:rsid w:val="00486FAC"/>
    <w:rsid w:val="00487E7C"/>
    <w:rsid w:val="00490A17"/>
    <w:rsid w:val="0049308B"/>
    <w:rsid w:val="004A043F"/>
    <w:rsid w:val="004A1CF0"/>
    <w:rsid w:val="004A33FD"/>
    <w:rsid w:val="004A7312"/>
    <w:rsid w:val="004C33C4"/>
    <w:rsid w:val="004D6375"/>
    <w:rsid w:val="004E0DC4"/>
    <w:rsid w:val="004E20F3"/>
    <w:rsid w:val="004E749B"/>
    <w:rsid w:val="004F3092"/>
    <w:rsid w:val="005023BA"/>
    <w:rsid w:val="00503C7F"/>
    <w:rsid w:val="00512126"/>
    <w:rsid w:val="00512C47"/>
    <w:rsid w:val="00521C04"/>
    <w:rsid w:val="0052686F"/>
    <w:rsid w:val="00532A4D"/>
    <w:rsid w:val="0054763D"/>
    <w:rsid w:val="00553315"/>
    <w:rsid w:val="00553578"/>
    <w:rsid w:val="00557016"/>
    <w:rsid w:val="005613D0"/>
    <w:rsid w:val="00562745"/>
    <w:rsid w:val="005630AE"/>
    <w:rsid w:val="00566679"/>
    <w:rsid w:val="00586C43"/>
    <w:rsid w:val="0059019E"/>
    <w:rsid w:val="0059626D"/>
    <w:rsid w:val="005A0EB5"/>
    <w:rsid w:val="005A0EFD"/>
    <w:rsid w:val="005A44DE"/>
    <w:rsid w:val="005B23E6"/>
    <w:rsid w:val="005B3E16"/>
    <w:rsid w:val="005B55B0"/>
    <w:rsid w:val="005D25E6"/>
    <w:rsid w:val="005D550E"/>
    <w:rsid w:val="005D554C"/>
    <w:rsid w:val="005F1FC1"/>
    <w:rsid w:val="005F2B38"/>
    <w:rsid w:val="0060577A"/>
    <w:rsid w:val="00605C0C"/>
    <w:rsid w:val="00612F5A"/>
    <w:rsid w:val="00620E31"/>
    <w:rsid w:val="00623308"/>
    <w:rsid w:val="00625F91"/>
    <w:rsid w:val="00647153"/>
    <w:rsid w:val="00651E69"/>
    <w:rsid w:val="0066031E"/>
    <w:rsid w:val="00666DDB"/>
    <w:rsid w:val="006714BD"/>
    <w:rsid w:val="00674293"/>
    <w:rsid w:val="00681D0E"/>
    <w:rsid w:val="00682259"/>
    <w:rsid w:val="00684C87"/>
    <w:rsid w:val="00687578"/>
    <w:rsid w:val="006A628C"/>
    <w:rsid w:val="006B49FC"/>
    <w:rsid w:val="006B5814"/>
    <w:rsid w:val="006C0217"/>
    <w:rsid w:val="006D45EB"/>
    <w:rsid w:val="006F436E"/>
    <w:rsid w:val="006F52F0"/>
    <w:rsid w:val="00707A8C"/>
    <w:rsid w:val="00720B9D"/>
    <w:rsid w:val="007229E1"/>
    <w:rsid w:val="00730E96"/>
    <w:rsid w:val="00737DCE"/>
    <w:rsid w:val="00751AA8"/>
    <w:rsid w:val="007573F1"/>
    <w:rsid w:val="00773B47"/>
    <w:rsid w:val="00776B03"/>
    <w:rsid w:val="00780445"/>
    <w:rsid w:val="00780961"/>
    <w:rsid w:val="00782595"/>
    <w:rsid w:val="00784B8A"/>
    <w:rsid w:val="00793EBF"/>
    <w:rsid w:val="00795E3A"/>
    <w:rsid w:val="007969C6"/>
    <w:rsid w:val="007A3B41"/>
    <w:rsid w:val="007A4D23"/>
    <w:rsid w:val="007B01D0"/>
    <w:rsid w:val="007B1606"/>
    <w:rsid w:val="007B403D"/>
    <w:rsid w:val="007C3860"/>
    <w:rsid w:val="007D10FC"/>
    <w:rsid w:val="007D12CC"/>
    <w:rsid w:val="007D1466"/>
    <w:rsid w:val="007D17A4"/>
    <w:rsid w:val="007D33B3"/>
    <w:rsid w:val="007E46EB"/>
    <w:rsid w:val="007E7C08"/>
    <w:rsid w:val="007F42AF"/>
    <w:rsid w:val="008014CC"/>
    <w:rsid w:val="0080456E"/>
    <w:rsid w:val="00811D29"/>
    <w:rsid w:val="0082049D"/>
    <w:rsid w:val="00834479"/>
    <w:rsid w:val="0084537C"/>
    <w:rsid w:val="00845AB2"/>
    <w:rsid w:val="008465AB"/>
    <w:rsid w:val="00847240"/>
    <w:rsid w:val="00850825"/>
    <w:rsid w:val="0085098E"/>
    <w:rsid w:val="008535DC"/>
    <w:rsid w:val="00853AC6"/>
    <w:rsid w:val="0085779F"/>
    <w:rsid w:val="00867F07"/>
    <w:rsid w:val="008704B1"/>
    <w:rsid w:val="00870E92"/>
    <w:rsid w:val="0088201A"/>
    <w:rsid w:val="00884D14"/>
    <w:rsid w:val="00886EB0"/>
    <w:rsid w:val="008905E5"/>
    <w:rsid w:val="00891903"/>
    <w:rsid w:val="00894DA5"/>
    <w:rsid w:val="00895711"/>
    <w:rsid w:val="00897FDB"/>
    <w:rsid w:val="008B6E39"/>
    <w:rsid w:val="008B72CB"/>
    <w:rsid w:val="008C2A1E"/>
    <w:rsid w:val="008C322C"/>
    <w:rsid w:val="008D5329"/>
    <w:rsid w:val="008D7050"/>
    <w:rsid w:val="008E0875"/>
    <w:rsid w:val="0091301F"/>
    <w:rsid w:val="00915B87"/>
    <w:rsid w:val="00925A12"/>
    <w:rsid w:val="009264B3"/>
    <w:rsid w:val="00930F39"/>
    <w:rsid w:val="00935741"/>
    <w:rsid w:val="00946E00"/>
    <w:rsid w:val="0094740D"/>
    <w:rsid w:val="009506CE"/>
    <w:rsid w:val="00956ED9"/>
    <w:rsid w:val="0095715B"/>
    <w:rsid w:val="009610CB"/>
    <w:rsid w:val="00966450"/>
    <w:rsid w:val="0096680A"/>
    <w:rsid w:val="009744C4"/>
    <w:rsid w:val="009845C4"/>
    <w:rsid w:val="0098573B"/>
    <w:rsid w:val="009951A9"/>
    <w:rsid w:val="00997D6E"/>
    <w:rsid w:val="009A0006"/>
    <w:rsid w:val="009A54B1"/>
    <w:rsid w:val="009A6856"/>
    <w:rsid w:val="009B42C7"/>
    <w:rsid w:val="009B452B"/>
    <w:rsid w:val="009B4F58"/>
    <w:rsid w:val="009B5899"/>
    <w:rsid w:val="009C024B"/>
    <w:rsid w:val="009C39F5"/>
    <w:rsid w:val="009C3CC0"/>
    <w:rsid w:val="009D0F4F"/>
    <w:rsid w:val="009D1185"/>
    <w:rsid w:val="009D49E5"/>
    <w:rsid w:val="009D6134"/>
    <w:rsid w:val="00A02F2C"/>
    <w:rsid w:val="00A06A4A"/>
    <w:rsid w:val="00A1048B"/>
    <w:rsid w:val="00A17779"/>
    <w:rsid w:val="00A17D81"/>
    <w:rsid w:val="00A21B90"/>
    <w:rsid w:val="00A30F55"/>
    <w:rsid w:val="00A365EA"/>
    <w:rsid w:val="00A40018"/>
    <w:rsid w:val="00A46A55"/>
    <w:rsid w:val="00A54118"/>
    <w:rsid w:val="00A56B4C"/>
    <w:rsid w:val="00A730D1"/>
    <w:rsid w:val="00A75234"/>
    <w:rsid w:val="00A77D23"/>
    <w:rsid w:val="00A80433"/>
    <w:rsid w:val="00A8275C"/>
    <w:rsid w:val="00A83A65"/>
    <w:rsid w:val="00A90CB2"/>
    <w:rsid w:val="00A924F7"/>
    <w:rsid w:val="00AA0481"/>
    <w:rsid w:val="00AA586F"/>
    <w:rsid w:val="00AA736E"/>
    <w:rsid w:val="00AC03A8"/>
    <w:rsid w:val="00AC5CAB"/>
    <w:rsid w:val="00AD2C09"/>
    <w:rsid w:val="00AD3FE6"/>
    <w:rsid w:val="00AE228B"/>
    <w:rsid w:val="00AF08B9"/>
    <w:rsid w:val="00AF3898"/>
    <w:rsid w:val="00B01E77"/>
    <w:rsid w:val="00B06FBF"/>
    <w:rsid w:val="00B17F4D"/>
    <w:rsid w:val="00B37BB7"/>
    <w:rsid w:val="00B50014"/>
    <w:rsid w:val="00B50B3D"/>
    <w:rsid w:val="00B56CF1"/>
    <w:rsid w:val="00B6172F"/>
    <w:rsid w:val="00B74FA9"/>
    <w:rsid w:val="00B76874"/>
    <w:rsid w:val="00B76ECE"/>
    <w:rsid w:val="00B863F9"/>
    <w:rsid w:val="00B865D8"/>
    <w:rsid w:val="00B91316"/>
    <w:rsid w:val="00B92B6E"/>
    <w:rsid w:val="00B95852"/>
    <w:rsid w:val="00B97A79"/>
    <w:rsid w:val="00B97ABF"/>
    <w:rsid w:val="00BA0876"/>
    <w:rsid w:val="00BA0B26"/>
    <w:rsid w:val="00BA3F91"/>
    <w:rsid w:val="00BA537F"/>
    <w:rsid w:val="00BA58D5"/>
    <w:rsid w:val="00BA7618"/>
    <w:rsid w:val="00BD4E90"/>
    <w:rsid w:val="00BD7F90"/>
    <w:rsid w:val="00BE2EF3"/>
    <w:rsid w:val="00BE5165"/>
    <w:rsid w:val="00BE53AA"/>
    <w:rsid w:val="00BF3FA2"/>
    <w:rsid w:val="00BF4961"/>
    <w:rsid w:val="00C060BB"/>
    <w:rsid w:val="00C06140"/>
    <w:rsid w:val="00C17A14"/>
    <w:rsid w:val="00C2210C"/>
    <w:rsid w:val="00C3312D"/>
    <w:rsid w:val="00C367C9"/>
    <w:rsid w:val="00C377A2"/>
    <w:rsid w:val="00C415CF"/>
    <w:rsid w:val="00C41C5B"/>
    <w:rsid w:val="00C45046"/>
    <w:rsid w:val="00C60D04"/>
    <w:rsid w:val="00C64CFD"/>
    <w:rsid w:val="00C6655D"/>
    <w:rsid w:val="00C82D6D"/>
    <w:rsid w:val="00C87359"/>
    <w:rsid w:val="00C94B4A"/>
    <w:rsid w:val="00CA0F6E"/>
    <w:rsid w:val="00CB26B1"/>
    <w:rsid w:val="00CB38A3"/>
    <w:rsid w:val="00CB7C7A"/>
    <w:rsid w:val="00CC0D5A"/>
    <w:rsid w:val="00CC27A3"/>
    <w:rsid w:val="00CC6178"/>
    <w:rsid w:val="00CD4E09"/>
    <w:rsid w:val="00CE068D"/>
    <w:rsid w:val="00CE7114"/>
    <w:rsid w:val="00CF1E4A"/>
    <w:rsid w:val="00D0310B"/>
    <w:rsid w:val="00D23F59"/>
    <w:rsid w:val="00D25D06"/>
    <w:rsid w:val="00D27067"/>
    <w:rsid w:val="00D46FC3"/>
    <w:rsid w:val="00D53EAF"/>
    <w:rsid w:val="00D570F4"/>
    <w:rsid w:val="00D57E1C"/>
    <w:rsid w:val="00D65873"/>
    <w:rsid w:val="00D702EF"/>
    <w:rsid w:val="00D758F9"/>
    <w:rsid w:val="00D80F6D"/>
    <w:rsid w:val="00D867D3"/>
    <w:rsid w:val="00D87EEA"/>
    <w:rsid w:val="00D90404"/>
    <w:rsid w:val="00DA5BC0"/>
    <w:rsid w:val="00DB704C"/>
    <w:rsid w:val="00DB7C9A"/>
    <w:rsid w:val="00DC4893"/>
    <w:rsid w:val="00DC7393"/>
    <w:rsid w:val="00DD0D3D"/>
    <w:rsid w:val="00DD292B"/>
    <w:rsid w:val="00DD6C14"/>
    <w:rsid w:val="00DE1F81"/>
    <w:rsid w:val="00DF4438"/>
    <w:rsid w:val="00DF5429"/>
    <w:rsid w:val="00E03F45"/>
    <w:rsid w:val="00E050F7"/>
    <w:rsid w:val="00E055A1"/>
    <w:rsid w:val="00E05901"/>
    <w:rsid w:val="00E12F95"/>
    <w:rsid w:val="00E14AF3"/>
    <w:rsid w:val="00E159FD"/>
    <w:rsid w:val="00E2633B"/>
    <w:rsid w:val="00E273A7"/>
    <w:rsid w:val="00E31E92"/>
    <w:rsid w:val="00E32EA8"/>
    <w:rsid w:val="00E375E9"/>
    <w:rsid w:val="00E37CFE"/>
    <w:rsid w:val="00E406BD"/>
    <w:rsid w:val="00E44E5D"/>
    <w:rsid w:val="00E52861"/>
    <w:rsid w:val="00E55ADF"/>
    <w:rsid w:val="00E66848"/>
    <w:rsid w:val="00E70FED"/>
    <w:rsid w:val="00E76B2D"/>
    <w:rsid w:val="00E76DD8"/>
    <w:rsid w:val="00E82F45"/>
    <w:rsid w:val="00EA06CC"/>
    <w:rsid w:val="00EA1079"/>
    <w:rsid w:val="00EA794E"/>
    <w:rsid w:val="00EC3701"/>
    <w:rsid w:val="00EE2882"/>
    <w:rsid w:val="00EF0B8A"/>
    <w:rsid w:val="00EF0C7C"/>
    <w:rsid w:val="00F01966"/>
    <w:rsid w:val="00F03F9C"/>
    <w:rsid w:val="00F04885"/>
    <w:rsid w:val="00F0511D"/>
    <w:rsid w:val="00F126FA"/>
    <w:rsid w:val="00F34E71"/>
    <w:rsid w:val="00F40DA6"/>
    <w:rsid w:val="00F43BE0"/>
    <w:rsid w:val="00F43C9E"/>
    <w:rsid w:val="00F45705"/>
    <w:rsid w:val="00F4775F"/>
    <w:rsid w:val="00F51687"/>
    <w:rsid w:val="00F52F51"/>
    <w:rsid w:val="00F54A4C"/>
    <w:rsid w:val="00F577CE"/>
    <w:rsid w:val="00F635E2"/>
    <w:rsid w:val="00F64392"/>
    <w:rsid w:val="00F76B00"/>
    <w:rsid w:val="00F83177"/>
    <w:rsid w:val="00F83A77"/>
    <w:rsid w:val="00F94FFE"/>
    <w:rsid w:val="00F966F3"/>
    <w:rsid w:val="00FA1858"/>
    <w:rsid w:val="00FA615F"/>
    <w:rsid w:val="00FC13F8"/>
    <w:rsid w:val="00FE6A10"/>
    <w:rsid w:val="00FF4E14"/>
    <w:rsid w:val="0486014C"/>
    <w:rsid w:val="109E09E1"/>
    <w:rsid w:val="1125039B"/>
    <w:rsid w:val="113B70B5"/>
    <w:rsid w:val="17940000"/>
    <w:rsid w:val="1A0B6307"/>
    <w:rsid w:val="1A5F1B0D"/>
    <w:rsid w:val="1AAF27AB"/>
    <w:rsid w:val="1B8D1DAF"/>
    <w:rsid w:val="1CBE2426"/>
    <w:rsid w:val="1DAD2973"/>
    <w:rsid w:val="2150336D"/>
    <w:rsid w:val="28D33261"/>
    <w:rsid w:val="298D0C41"/>
    <w:rsid w:val="2B634901"/>
    <w:rsid w:val="3835774D"/>
    <w:rsid w:val="394967A2"/>
    <w:rsid w:val="3D2C0B4F"/>
    <w:rsid w:val="3DA655E4"/>
    <w:rsid w:val="3DEA13E7"/>
    <w:rsid w:val="470A53C0"/>
    <w:rsid w:val="4FFD542C"/>
    <w:rsid w:val="55680E5E"/>
    <w:rsid w:val="6DE86973"/>
    <w:rsid w:val="6E7A6614"/>
    <w:rsid w:val="72966C5A"/>
    <w:rsid w:val="75610383"/>
    <w:rsid w:val="7C955781"/>
    <w:rsid w:val="7DDB45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26"/>
    <w:qFormat/>
    <w:uiPriority w:val="0"/>
    <w:pPr>
      <w:keepNext/>
      <w:keepLines/>
      <w:numPr>
        <w:ilvl w:val="0"/>
        <w:numId w:val="1"/>
      </w:numPr>
      <w:spacing w:before="260" w:after="260" w:line="416" w:lineRule="auto"/>
      <w:outlineLvl w:val="1"/>
    </w:pPr>
    <w:rPr>
      <w:rFonts w:ascii="Cambria" w:hAnsi="Cambria"/>
      <w:b/>
      <w:bCs/>
      <w:sz w:val="24"/>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caption"/>
    <w:basedOn w:val="1"/>
    <w:next w:val="1"/>
    <w:link w:val="27"/>
    <w:qFormat/>
    <w:uiPriority w:val="0"/>
    <w:pPr>
      <w:spacing w:line="360" w:lineRule="auto"/>
    </w:pPr>
    <w:rPr>
      <w:rFonts w:ascii="Cambria" w:hAnsi="Cambria" w:eastAsia="黑体"/>
      <w:kern w:val="0"/>
      <w:sz w:val="20"/>
      <w:szCs w:val="20"/>
    </w:rPr>
  </w:style>
  <w:style w:type="paragraph" w:styleId="5">
    <w:name w:val="annotation text"/>
    <w:basedOn w:val="1"/>
    <w:link w:val="28"/>
    <w:unhideWhenUsed/>
    <w:qFormat/>
    <w:uiPriority w:val="99"/>
    <w:pPr>
      <w:spacing w:line="284" w:lineRule="auto"/>
      <w:ind w:firstLine="200" w:firstLineChars="200"/>
      <w:jc w:val="left"/>
    </w:pPr>
    <w:rPr>
      <w:szCs w:val="22"/>
    </w:rPr>
  </w:style>
  <w:style w:type="paragraph" w:styleId="6">
    <w:name w:val="toc 3"/>
    <w:basedOn w:val="1"/>
    <w:next w:val="1"/>
    <w:unhideWhenUsed/>
    <w:qFormat/>
    <w:uiPriority w:val="39"/>
    <w:pPr>
      <w:widowControl/>
      <w:spacing w:after="100" w:line="276" w:lineRule="auto"/>
      <w:ind w:left="440"/>
      <w:jc w:val="left"/>
    </w:pPr>
    <w:rPr>
      <w:rFonts w:ascii="等线" w:hAnsi="等线" w:eastAsia="等线" w:cs="Times New Roman"/>
      <w:kern w:val="0"/>
      <w:sz w:val="22"/>
      <w:szCs w:val="22"/>
    </w:rPr>
  </w:style>
  <w:style w:type="paragraph" w:styleId="7">
    <w:name w:val="endnote text"/>
    <w:basedOn w:val="1"/>
    <w:link w:val="29"/>
    <w:qFormat/>
    <w:uiPriority w:val="0"/>
    <w:pPr>
      <w:snapToGrid w:val="0"/>
      <w:jc w:val="left"/>
    </w:pPr>
  </w:style>
  <w:style w:type="paragraph" w:styleId="8">
    <w:name w:val="Balloon Text"/>
    <w:basedOn w:val="1"/>
    <w:link w:val="30"/>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8296"/>
      </w:tabs>
      <w:spacing w:after="100" w:line="259" w:lineRule="auto"/>
      <w:jc w:val="left"/>
    </w:pPr>
    <w:rPr>
      <w:rFonts w:ascii="等线" w:hAnsi="等线" w:eastAsia="等线"/>
      <w:kern w:val="0"/>
      <w:sz w:val="22"/>
      <w:szCs w:val="22"/>
    </w:rPr>
  </w:style>
  <w:style w:type="paragraph" w:styleId="12">
    <w:name w:val="Subtitle"/>
    <w:basedOn w:val="1"/>
    <w:next w:val="1"/>
    <w:link w:val="33"/>
    <w:qFormat/>
    <w:uiPriority w:val="0"/>
    <w:pPr>
      <w:spacing w:before="240" w:after="60" w:line="312" w:lineRule="auto"/>
      <w:jc w:val="left"/>
      <w:outlineLvl w:val="1"/>
    </w:pPr>
    <w:rPr>
      <w:rFonts w:ascii="Cambria" w:hAnsi="Cambria"/>
      <w:b/>
      <w:bCs/>
      <w:kern w:val="28"/>
      <w:sz w:val="24"/>
      <w:szCs w:val="32"/>
    </w:rPr>
  </w:style>
  <w:style w:type="paragraph" w:styleId="13">
    <w:name w:val="footnote text"/>
    <w:basedOn w:val="1"/>
    <w:link w:val="34"/>
    <w:qFormat/>
    <w:uiPriority w:val="0"/>
    <w:pPr>
      <w:snapToGrid w:val="0"/>
      <w:jc w:val="left"/>
    </w:pPr>
    <w:rPr>
      <w:sz w:val="18"/>
      <w:szCs w:val="18"/>
    </w:rPr>
  </w:style>
  <w:style w:type="paragraph" w:styleId="14">
    <w:name w:val="toc 2"/>
    <w:basedOn w:val="1"/>
    <w:next w:val="1"/>
    <w:unhideWhenUsed/>
    <w:qFormat/>
    <w:uiPriority w:val="39"/>
    <w:pPr>
      <w:widowControl/>
      <w:tabs>
        <w:tab w:val="right" w:leader="dot" w:pos="8931"/>
      </w:tabs>
      <w:snapToGrid w:val="0"/>
      <w:spacing w:line="500" w:lineRule="exact"/>
      <w:ind w:left="216" w:firstLine="120" w:firstLineChars="50"/>
      <w:jc w:val="left"/>
    </w:pPr>
    <w:rPr>
      <w:rFonts w:ascii="宋体" w:hAnsi="宋体"/>
      <w:color w:val="FF0000"/>
      <w:kern w:val="0"/>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5"/>
    <w:qFormat/>
    <w:uiPriority w:val="0"/>
    <w:pPr>
      <w:numPr>
        <w:ilvl w:val="0"/>
        <w:numId w:val="2"/>
      </w:numPr>
      <w:spacing w:before="240" w:after="60"/>
      <w:jc w:val="left"/>
      <w:outlineLvl w:val="0"/>
    </w:pPr>
    <w:rPr>
      <w:rFonts w:ascii="等线 Light" w:hAnsi="等线 Light"/>
      <w:b/>
      <w:bCs/>
      <w:sz w:val="24"/>
      <w:szCs w:val="32"/>
    </w:rPr>
  </w:style>
  <w:style w:type="paragraph" w:styleId="17">
    <w:name w:val="annotation subject"/>
    <w:basedOn w:val="5"/>
    <w:next w:val="5"/>
    <w:link w:val="36"/>
    <w:qFormat/>
    <w:uiPriority w:val="0"/>
    <w:pPr>
      <w:spacing w:line="240" w:lineRule="auto"/>
      <w:ind w:firstLine="0" w:firstLineChars="0"/>
    </w:pPr>
    <w:rPr>
      <w:b/>
      <w:bCs/>
      <w:szCs w:val="24"/>
    </w:rPr>
  </w:style>
  <w:style w:type="table" w:styleId="19">
    <w:name w:val="Table Grid"/>
    <w:basedOn w:val="1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qFormat/>
    <w:uiPriority w:val="0"/>
    <w:rPr>
      <w:vertAlign w:val="superscript"/>
    </w:rPr>
  </w:style>
  <w:style w:type="character" w:styleId="22">
    <w:name w:val="Hyperlink"/>
    <w:basedOn w:val="20"/>
    <w:qFormat/>
    <w:uiPriority w:val="0"/>
    <w:rPr>
      <w:color w:val="0000FF"/>
      <w:u w:val="single"/>
    </w:rPr>
  </w:style>
  <w:style w:type="character" w:styleId="23">
    <w:name w:val="annotation reference"/>
    <w:unhideWhenUsed/>
    <w:qFormat/>
    <w:uiPriority w:val="99"/>
    <w:rPr>
      <w:sz w:val="21"/>
      <w:szCs w:val="21"/>
    </w:rPr>
  </w:style>
  <w:style w:type="character" w:styleId="24">
    <w:name w:val="footnote reference"/>
    <w:qFormat/>
    <w:uiPriority w:val="0"/>
    <w:rPr>
      <w:vertAlign w:val="superscript"/>
    </w:rPr>
  </w:style>
  <w:style w:type="character" w:customStyle="1" w:styleId="25">
    <w:name w:val="标题 1 字符"/>
    <w:link w:val="2"/>
    <w:qFormat/>
    <w:uiPriority w:val="0"/>
    <w:rPr>
      <w:b/>
      <w:bCs/>
      <w:kern w:val="44"/>
      <w:sz w:val="44"/>
      <w:szCs w:val="44"/>
    </w:rPr>
  </w:style>
  <w:style w:type="character" w:customStyle="1" w:styleId="26">
    <w:name w:val="标题 2 字符"/>
    <w:link w:val="3"/>
    <w:qFormat/>
    <w:uiPriority w:val="0"/>
    <w:rPr>
      <w:rFonts w:ascii="Cambria" w:hAnsi="Cambria"/>
      <w:b/>
      <w:bCs/>
      <w:kern w:val="2"/>
      <w:sz w:val="24"/>
      <w:szCs w:val="32"/>
    </w:rPr>
  </w:style>
  <w:style w:type="character" w:customStyle="1" w:styleId="27">
    <w:name w:val="题注 字符"/>
    <w:link w:val="4"/>
    <w:qFormat/>
    <w:uiPriority w:val="0"/>
    <w:rPr>
      <w:rFonts w:ascii="Cambria" w:hAnsi="Cambria" w:eastAsia="黑体"/>
    </w:rPr>
  </w:style>
  <w:style w:type="character" w:customStyle="1" w:styleId="28">
    <w:name w:val="批注文字 字符"/>
    <w:link w:val="5"/>
    <w:qFormat/>
    <w:uiPriority w:val="99"/>
    <w:rPr>
      <w:kern w:val="2"/>
      <w:sz w:val="21"/>
      <w:szCs w:val="22"/>
    </w:rPr>
  </w:style>
  <w:style w:type="character" w:customStyle="1" w:styleId="29">
    <w:name w:val="尾注文本 字符"/>
    <w:link w:val="7"/>
    <w:qFormat/>
    <w:uiPriority w:val="0"/>
    <w:rPr>
      <w:kern w:val="2"/>
      <w:sz w:val="21"/>
      <w:szCs w:val="24"/>
    </w:rPr>
  </w:style>
  <w:style w:type="character" w:customStyle="1" w:styleId="30">
    <w:name w:val="批注框文本 字符"/>
    <w:link w:val="8"/>
    <w:qFormat/>
    <w:uiPriority w:val="0"/>
    <w:rPr>
      <w:kern w:val="2"/>
      <w:sz w:val="18"/>
      <w:szCs w:val="18"/>
    </w:rPr>
  </w:style>
  <w:style w:type="character" w:customStyle="1" w:styleId="31">
    <w:name w:val="页脚 字符1"/>
    <w:link w:val="9"/>
    <w:qFormat/>
    <w:uiPriority w:val="99"/>
    <w:rPr>
      <w:kern w:val="2"/>
      <w:sz w:val="18"/>
      <w:szCs w:val="18"/>
    </w:rPr>
  </w:style>
  <w:style w:type="character" w:customStyle="1" w:styleId="32">
    <w:name w:val="页眉 字符"/>
    <w:link w:val="10"/>
    <w:qFormat/>
    <w:uiPriority w:val="0"/>
    <w:rPr>
      <w:kern w:val="2"/>
      <w:sz w:val="18"/>
      <w:szCs w:val="18"/>
    </w:rPr>
  </w:style>
  <w:style w:type="character" w:customStyle="1" w:styleId="33">
    <w:name w:val="副标题 字符"/>
    <w:link w:val="12"/>
    <w:qFormat/>
    <w:uiPriority w:val="0"/>
    <w:rPr>
      <w:rFonts w:ascii="Cambria" w:hAnsi="Cambria"/>
      <w:b/>
      <w:bCs/>
      <w:kern w:val="28"/>
      <w:sz w:val="24"/>
      <w:szCs w:val="32"/>
    </w:rPr>
  </w:style>
  <w:style w:type="character" w:customStyle="1" w:styleId="34">
    <w:name w:val="脚注文本 字符"/>
    <w:link w:val="13"/>
    <w:qFormat/>
    <w:uiPriority w:val="0"/>
    <w:rPr>
      <w:kern w:val="2"/>
      <w:sz w:val="18"/>
      <w:szCs w:val="18"/>
    </w:rPr>
  </w:style>
  <w:style w:type="character" w:customStyle="1" w:styleId="35">
    <w:name w:val="标题 字符"/>
    <w:link w:val="16"/>
    <w:qFormat/>
    <w:uiPriority w:val="0"/>
    <w:rPr>
      <w:rFonts w:ascii="等线 Light" w:hAnsi="等线 Light"/>
      <w:b/>
      <w:bCs/>
      <w:kern w:val="2"/>
      <w:sz w:val="24"/>
      <w:szCs w:val="32"/>
    </w:rPr>
  </w:style>
  <w:style w:type="character" w:customStyle="1" w:styleId="36">
    <w:name w:val="批注主题 字符"/>
    <w:link w:val="17"/>
    <w:qFormat/>
    <w:uiPriority w:val="0"/>
    <w:rPr>
      <w:b/>
      <w:bCs/>
      <w:kern w:val="2"/>
      <w:sz w:val="21"/>
      <w:szCs w:val="24"/>
    </w:rPr>
  </w:style>
  <w:style w:type="character" w:customStyle="1" w:styleId="37">
    <w:name w:val="页脚 字符"/>
    <w:qFormat/>
    <w:uiPriority w:val="99"/>
  </w:style>
  <w:style w:type="character" w:customStyle="1" w:styleId="38">
    <w:name w:val="前言大标题 Char"/>
    <w:link w:val="39"/>
    <w:qFormat/>
    <w:uiPriority w:val="0"/>
    <w:rPr>
      <w:rFonts w:eastAsia="黑体"/>
      <w:bCs/>
      <w:kern w:val="44"/>
      <w:sz w:val="32"/>
      <w:szCs w:val="44"/>
    </w:rPr>
  </w:style>
  <w:style w:type="paragraph" w:customStyle="1" w:styleId="39">
    <w:name w:val="前言大标题"/>
    <w:basedOn w:val="2"/>
    <w:link w:val="38"/>
    <w:qFormat/>
    <w:uiPriority w:val="0"/>
    <w:pPr>
      <w:spacing w:before="0" w:after="680" w:line="283" w:lineRule="auto"/>
      <w:ind w:firstLine="200" w:firstLineChars="200"/>
      <w:jc w:val="center"/>
      <w:outlineLvl w:val="9"/>
    </w:pPr>
    <w:rPr>
      <w:rFonts w:eastAsia="黑体"/>
      <w:b w:val="0"/>
      <w:sz w:val="32"/>
    </w:rPr>
  </w:style>
  <w:style w:type="character" w:customStyle="1" w:styleId="40">
    <w:name w:val="XN表内容 Char"/>
    <w:link w:val="41"/>
    <w:qFormat/>
    <w:uiPriority w:val="0"/>
    <w:rPr>
      <w:rFonts w:ascii="仿宋" w:hAnsi="仿宋"/>
      <w:color w:val="000000"/>
      <w:kern w:val="2"/>
      <w:sz w:val="21"/>
      <w:szCs w:val="24"/>
    </w:rPr>
  </w:style>
  <w:style w:type="paragraph" w:customStyle="1" w:styleId="41">
    <w:name w:val="XN表内容"/>
    <w:basedOn w:val="1"/>
    <w:link w:val="40"/>
    <w:qFormat/>
    <w:uiPriority w:val="0"/>
    <w:pPr>
      <w:spacing w:line="264" w:lineRule="auto"/>
      <w:jc w:val="center"/>
    </w:pPr>
    <w:rPr>
      <w:rFonts w:ascii="仿宋" w:hAnsi="仿宋"/>
      <w:color w:val="000000"/>
    </w:rPr>
  </w:style>
  <w:style w:type="paragraph" w:customStyle="1" w:styleId="42">
    <w:name w:val="WPSOffice手动目录 2"/>
    <w:qFormat/>
    <w:uiPriority w:val="0"/>
    <w:pPr>
      <w:ind w:leftChars="200"/>
    </w:pPr>
    <w:rPr>
      <w:rFonts w:ascii="Times New Roman" w:hAnsi="Times New Roman" w:eastAsia="宋体" w:cs="Times New Roman"/>
      <w:lang w:val="en-US" w:eastAsia="zh-CN" w:bidi="ar-SA"/>
    </w:rPr>
  </w:style>
  <w:style w:type="paragraph" w:customStyle="1" w:styleId="4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章条标题3级"/>
    <w:basedOn w:val="3"/>
    <w:qFormat/>
    <w:uiPriority w:val="0"/>
    <w:pPr>
      <w:tabs>
        <w:tab w:val="left" w:pos="397"/>
      </w:tabs>
      <w:spacing w:before="0" w:after="0" w:line="566" w:lineRule="auto"/>
      <w:jc w:val="left"/>
      <w:outlineLvl w:val="2"/>
    </w:pPr>
    <w:rPr>
      <w:rFonts w:ascii="Times New Roman" w:hAnsi="Times New Roman" w:eastAsia="黑体" w:cs="Times New Roman"/>
      <w:b w:val="0"/>
      <w:sz w:val="21"/>
    </w:rPr>
  </w:style>
  <w:style w:type="paragraph" w:customStyle="1" w:styleId="45">
    <w:name w:val="WPSOffice手动目录 1"/>
    <w:uiPriority w:val="0"/>
    <w:rPr>
      <w:rFonts w:ascii="Times New Roman" w:hAnsi="Times New Roman" w:eastAsia="宋体" w:cs="Times New Roman"/>
      <w:lang w:val="en-US" w:eastAsia="zh-CN" w:bidi="ar-SA"/>
    </w:rPr>
  </w:style>
  <w:style w:type="paragraph" w:customStyle="1" w:styleId="46">
    <w:name w:val="章条标题4级"/>
    <w:basedOn w:val="44"/>
    <w:qFormat/>
    <w:uiPriority w:val="0"/>
    <w:pPr>
      <w:tabs>
        <w:tab w:val="clear" w:pos="397"/>
      </w:tabs>
      <w:outlineLvl w:val="3"/>
    </w:pPr>
  </w:style>
  <w:style w:type="paragraph" w:styleId="4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8">
    <w:name w:val="列出段落1"/>
    <w:basedOn w:val="1"/>
    <w:unhideWhenUsed/>
    <w:qFormat/>
    <w:uiPriority w:val="34"/>
    <w:pPr>
      <w:ind w:firstLine="420" w:firstLineChars="200"/>
    </w:pPr>
    <w:rPr>
      <w:rFonts w:eastAsia="仿宋_GB2312"/>
      <w:sz w:val="24"/>
      <w:szCs w:val="20"/>
    </w:rPr>
  </w:style>
  <w:style w:type="paragraph" w:customStyle="1" w:styleId="49">
    <w:name w:val="_Style 47"/>
    <w:basedOn w:val="2"/>
    <w:next w:val="1"/>
    <w:qFormat/>
    <w:uiPriority w:val="39"/>
    <w:pPr>
      <w:widowControl/>
      <w:spacing w:before="480" w:after="0" w:line="276" w:lineRule="auto"/>
      <w:jc w:val="left"/>
      <w:outlineLvl w:val="9"/>
    </w:pPr>
    <w:rPr>
      <w:rFonts w:ascii="等线 Light" w:hAnsi="等线 Light" w:eastAsia="等线 Light" w:cs="Times New Roman"/>
      <w:color w:val="2E74B5"/>
      <w:kern w:val="0"/>
      <w:sz w:val="28"/>
      <w:szCs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落雪梨花——扬帆技术论坛更新版</Company>
  <Pages>18</Pages>
  <Words>9692</Words>
  <Characters>9999</Characters>
  <Lines>81</Lines>
  <Paragraphs>22</Paragraphs>
  <TotalTime>3</TotalTime>
  <ScaleCrop>false</ScaleCrop>
  <LinksUpToDate>false</LinksUpToDate>
  <CharactersWithSpaces>10095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2018-05-04T05:30:00Z</dcterms:created>
  <dc:creator>user</dc:creator>
  <cp:lastModifiedBy>WPS_1662341346</cp:lastModifiedBy>
  <cp:lastPrinted>2018-04-28T01:06:00Z</cp:lastPrinted>
  <dcterms:modified xsi:type="dcterms:W3CDTF">2023-09-13T15:10:20Z</dcterms:modified>
  <dc:title>社会责任报告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6B636CD3355047DF83AE0C19ACBDAF26</vt:lpwstr>
  </property>
</Properties>
</file>